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DF56F01" w:rsidR="00E66558" w:rsidRDefault="009D71E8" w:rsidP="00941A91">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9E149B">
        <w:t xml:space="preserve">Wimbish Primary Academy </w:t>
      </w:r>
    </w:p>
    <w:p w14:paraId="16B4CA4B" w14:textId="77777777" w:rsidR="00941A91" w:rsidRDefault="00941A91" w:rsidP="00941A91">
      <w:pPr>
        <w:rPr>
          <w:b/>
        </w:rPr>
      </w:pPr>
      <w:r w:rsidRPr="00941A91">
        <w:t>This statement details Wimbish Primary Academy’s use of pupil premium and service pupil premium funding to improve the attainment, wellbeing and wider outcomes of disadvantaged pupils. It outlines our strategy for the 2025–26 academic year within the context of the three-year strategy period (2024–2027) and reflects the school’s ongoing improvement journey following academisation.</w:t>
      </w:r>
    </w:p>
    <w:p w14:paraId="2A7D54B4" w14:textId="6D1D4389" w:rsidR="00E66558" w:rsidRDefault="009D71E8" w:rsidP="00941A91">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807"/>
        <w:gridCol w:w="3679"/>
      </w:tblGrid>
      <w:tr w:rsidR="00E66558" w14:paraId="2A7D54B7"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941A91">
            <w:r>
              <w:t>Detail</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941A91">
            <w:r>
              <w:t>Data</w:t>
            </w:r>
          </w:p>
        </w:tc>
      </w:tr>
      <w:tr w:rsidR="002940F3" w14:paraId="2A7D54BA"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rsidP="00941A91">
            <w:r>
              <w:t xml:space="preserve">Number of pupils in school </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8EAB49D" w:rsidR="002940F3" w:rsidRDefault="00706BB5" w:rsidP="00941A91">
            <w:r>
              <w:t>41</w:t>
            </w:r>
          </w:p>
        </w:tc>
      </w:tr>
      <w:tr w:rsidR="002940F3" w14:paraId="2A7D54BD"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941A91">
            <w:r>
              <w:t>Proportion (%) of pupil premium eligible pupils</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820E" w14:textId="0D61DB41" w:rsidR="002940F3" w:rsidRDefault="00F7384A" w:rsidP="00941A91">
            <w:r>
              <w:t xml:space="preserve">Pupil premium: </w:t>
            </w:r>
            <w:r w:rsidR="00706BB5">
              <w:t>29%</w:t>
            </w:r>
            <w:r w:rsidR="00BB48D0">
              <w:t xml:space="preserve"> (</w:t>
            </w:r>
            <w:r w:rsidR="007C44D8">
              <w:t xml:space="preserve">12 </w:t>
            </w:r>
            <w:r w:rsidR="00BB48D0">
              <w:t>pupils)</w:t>
            </w:r>
          </w:p>
          <w:p w14:paraId="655288F4" w14:textId="6DF6F336" w:rsidR="00BB48D0" w:rsidRDefault="00F7384A" w:rsidP="00941A91">
            <w:r>
              <w:t xml:space="preserve">Service premium: </w:t>
            </w:r>
            <w:r w:rsidR="0099595A">
              <w:t>3</w:t>
            </w:r>
            <w:r w:rsidR="00706BB5">
              <w:t>4</w:t>
            </w:r>
            <w:r w:rsidR="000B7235">
              <w:t>%</w:t>
            </w:r>
            <w:r>
              <w:t xml:space="preserve"> (1</w:t>
            </w:r>
            <w:r w:rsidR="0099595A">
              <w:t>4</w:t>
            </w:r>
            <w:r>
              <w:t xml:space="preserve"> pupils)</w:t>
            </w:r>
          </w:p>
          <w:p w14:paraId="2A7D54BC" w14:textId="13A2E051" w:rsidR="00067003" w:rsidRDefault="00067003" w:rsidP="00941A91">
            <w:r>
              <w:t xml:space="preserve">Overall pupils with funding: </w:t>
            </w:r>
            <w:r w:rsidR="00706BB5">
              <w:t>63</w:t>
            </w:r>
            <w:r>
              <w:t>%</w:t>
            </w:r>
            <w:r w:rsidR="002E57A4">
              <w:t xml:space="preserve"> (26 children)</w:t>
            </w:r>
          </w:p>
        </w:tc>
      </w:tr>
      <w:tr w:rsidR="002940F3" w14:paraId="2A7D54C0"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rsidP="00941A91">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6FC" w14:textId="7ADD71FA" w:rsidR="002940F3" w:rsidRDefault="0073516A" w:rsidP="00941A91">
            <w:r>
              <w:t>2024 - 2027</w:t>
            </w:r>
          </w:p>
          <w:p w14:paraId="2A7D54BF" w14:textId="1C2B63B2" w:rsidR="009E149B" w:rsidRDefault="009E149B" w:rsidP="00941A91"/>
        </w:tc>
      </w:tr>
      <w:tr w:rsidR="00941A91" w14:paraId="2A7D54C3"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941A91" w:rsidRDefault="00941A91" w:rsidP="00941A91">
            <w:r>
              <w:rPr>
                <w:szCs w:val="22"/>
              </w:rPr>
              <w:t>Date this statement was published</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2" w14:textId="3EF1E225" w:rsidR="00941A91" w:rsidRDefault="00941A91" w:rsidP="00941A91">
            <w:r w:rsidRPr="00617008">
              <w:t>September 2025</w:t>
            </w:r>
          </w:p>
        </w:tc>
      </w:tr>
      <w:tr w:rsidR="00941A91" w14:paraId="2A7D54C6"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941A91" w:rsidRDefault="00941A91" w:rsidP="00941A91">
            <w:r>
              <w:rPr>
                <w:szCs w:val="22"/>
              </w:rPr>
              <w:t>Date on which it will be reviewed</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C5" w14:textId="607D75B0" w:rsidR="00941A91" w:rsidRDefault="00941A91" w:rsidP="00941A91">
            <w:r w:rsidRPr="00617008">
              <w:t>July 2026</w:t>
            </w:r>
          </w:p>
        </w:tc>
      </w:tr>
      <w:tr w:rsidR="00941A91" w14:paraId="2A7D54C9"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941A91" w:rsidRDefault="00941A91" w:rsidP="00941A91">
            <w:r>
              <w:t>Statement authorised by</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904AF7C" w:rsidR="00941A91" w:rsidRDefault="00941A91" w:rsidP="00941A91">
            <w:r>
              <w:t xml:space="preserve">Nichola Pickford </w:t>
            </w:r>
          </w:p>
        </w:tc>
      </w:tr>
      <w:tr w:rsidR="00941A91" w14:paraId="2A7D54CC"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941A91" w:rsidRDefault="00941A91" w:rsidP="00941A91">
            <w:r>
              <w:t>Pupil premium lead</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2D27C72" w:rsidR="00941A91" w:rsidRDefault="00941A91" w:rsidP="00941A91">
            <w:r>
              <w:t>Sam Barnes</w:t>
            </w:r>
          </w:p>
        </w:tc>
      </w:tr>
      <w:tr w:rsidR="00941A91" w14:paraId="2A7D54CF" w14:textId="77777777" w:rsidTr="00941A91">
        <w:tc>
          <w:tcPr>
            <w:tcW w:w="5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941A91" w:rsidRDefault="00941A91" w:rsidP="00941A91">
            <w:r>
              <w:t xml:space="preserve">Governor </w:t>
            </w:r>
            <w:r>
              <w:rPr>
                <w:szCs w:val="22"/>
              </w:rPr>
              <w:t xml:space="preserve">/ Trustee </w:t>
            </w:r>
            <w:r>
              <w:t>lead</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2DC0638" w:rsidR="00941A91" w:rsidRDefault="003A4266" w:rsidP="00941A91">
            <w:r>
              <w:t>Christine Griffin</w:t>
            </w:r>
          </w:p>
        </w:tc>
      </w:tr>
      <w:bookmarkEnd w:id="2"/>
      <w:bookmarkEnd w:id="3"/>
      <w:bookmarkEnd w:id="4"/>
    </w:tbl>
    <w:p w14:paraId="35224DF6" w14:textId="77777777" w:rsidR="00941A91" w:rsidRDefault="00941A91" w:rsidP="00941A91">
      <w:pPr>
        <w:pStyle w:val="Heading2"/>
      </w:pPr>
    </w:p>
    <w:p w14:paraId="59806529" w14:textId="77777777" w:rsidR="00941A91" w:rsidRDefault="00941A91">
      <w:pPr>
        <w:suppressAutoHyphens w:val="0"/>
        <w:spacing w:after="0" w:line="240" w:lineRule="auto"/>
        <w:rPr>
          <w:b/>
          <w:color w:val="104F75"/>
          <w:sz w:val="32"/>
          <w:szCs w:val="32"/>
        </w:rPr>
      </w:pPr>
      <w:r>
        <w:br w:type="page"/>
      </w:r>
    </w:p>
    <w:p w14:paraId="2A7D54D3" w14:textId="0015A5A5" w:rsidR="00E66558" w:rsidRPr="005464A1" w:rsidRDefault="009D71E8" w:rsidP="00941A9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78B8E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941A91">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941A91">
            <w:r>
              <w:rPr>
                <w:b/>
              </w:rPr>
              <w:t>Amount</w:t>
            </w:r>
          </w:p>
        </w:tc>
      </w:tr>
      <w:tr w:rsidR="00E66558" w14:paraId="2A7D54D9" w14:textId="77777777" w:rsidTr="478B8E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941A91">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AB2B5C7" w:rsidR="00E66558" w:rsidRDefault="00F278C3" w:rsidP="00941A91">
            <w:r>
              <w:t>£</w:t>
            </w:r>
            <w:r w:rsidRPr="00F278C3">
              <w:t>18,180</w:t>
            </w:r>
          </w:p>
        </w:tc>
      </w:tr>
      <w:tr w:rsidR="00E66558" w14:paraId="2A7D54DF" w14:textId="77777777" w:rsidTr="478B8E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941A91">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E096001" w:rsidR="00E66558" w:rsidRDefault="009D71E8" w:rsidP="00941A91">
            <w:r>
              <w:t>£</w:t>
            </w:r>
            <w:r w:rsidR="009E149B">
              <w:t>0</w:t>
            </w:r>
          </w:p>
        </w:tc>
      </w:tr>
      <w:tr w:rsidR="00F278C3" w14:paraId="0CAB10A2" w14:textId="77777777" w:rsidTr="478B8E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583F12" w14:textId="3A245D7B" w:rsidR="00F278C3" w:rsidRDefault="00F278C3" w:rsidP="00941A91">
            <w:r w:rsidRPr="00F278C3">
              <w:t xml:space="preserve">PP LAC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892F8" w14:textId="20230742" w:rsidR="00F278C3" w:rsidRDefault="00F278C3" w:rsidP="00941A91">
            <w:r w:rsidRPr="00F278C3">
              <w:t>£2,630</w:t>
            </w:r>
          </w:p>
        </w:tc>
      </w:tr>
      <w:tr w:rsidR="00F278C3" w14:paraId="0BC6C7E7" w14:textId="77777777" w:rsidTr="478B8E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F8091" w14:textId="52DA7260" w:rsidR="00F278C3" w:rsidRDefault="00F278C3" w:rsidP="00941A91">
            <w:r w:rsidRPr="00F278C3">
              <w:t xml:space="preserve">PP Service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4211A" w14:textId="2162B879" w:rsidR="00F278C3" w:rsidRDefault="00F278C3" w:rsidP="00941A91">
            <w:r w:rsidRPr="00F278C3">
              <w:t>£4,900</w:t>
            </w:r>
          </w:p>
        </w:tc>
      </w:tr>
      <w:tr w:rsidR="00E66558" w14:paraId="2A7D54E3" w14:textId="77777777" w:rsidTr="478B8EB7">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41A91">
            <w:pPr>
              <w:rPr>
                <w:b/>
              </w:rPr>
            </w:pPr>
            <w:r>
              <w:rPr>
                <w:b/>
              </w:rPr>
              <w:t>Total budget for this academic year</w:t>
            </w:r>
          </w:p>
          <w:p w14:paraId="2A7D54E1" w14:textId="77777777" w:rsidR="00E66558" w:rsidRPr="003C4388" w:rsidRDefault="009D71E8" w:rsidP="00941A91">
            <w:pPr>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8E45063" w:rsidR="00E66558" w:rsidRDefault="00F278C3" w:rsidP="00941A91">
            <w:r w:rsidRPr="00F278C3">
              <w:t>£25,710</w:t>
            </w:r>
          </w:p>
        </w:tc>
      </w:tr>
    </w:tbl>
    <w:p w14:paraId="5F500DF2" w14:textId="77777777" w:rsidR="00941A91" w:rsidRDefault="00941A91" w:rsidP="00941A91">
      <w:pPr>
        <w:pStyle w:val="Heading2"/>
      </w:pPr>
    </w:p>
    <w:p w14:paraId="6B4EFE6D" w14:textId="77777777" w:rsidR="00941A91" w:rsidRDefault="00941A91">
      <w:pPr>
        <w:suppressAutoHyphens w:val="0"/>
        <w:spacing w:after="0" w:line="240" w:lineRule="auto"/>
        <w:rPr>
          <w:b/>
          <w:color w:val="104F75"/>
          <w:sz w:val="32"/>
          <w:szCs w:val="32"/>
        </w:rPr>
      </w:pPr>
      <w:r>
        <w:br w:type="page"/>
      </w:r>
    </w:p>
    <w:p w14:paraId="2A7D54E4" w14:textId="1D33E7C4" w:rsidR="00E66558" w:rsidRDefault="009D71E8" w:rsidP="00941A91">
      <w:pPr>
        <w:pStyle w:val="Heading2"/>
      </w:pPr>
      <w:r>
        <w:lastRenderedPageBreak/>
        <w:t>Part A: Pupil premium strategy plan</w:t>
      </w:r>
    </w:p>
    <w:p w14:paraId="2A7D54E5" w14:textId="77777777" w:rsidR="00E66558" w:rsidRDefault="009D71E8" w:rsidP="00941A91">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76C17" w14:paraId="2A7D54EA" w14:textId="77777777" w:rsidTr="00151D68">
        <w:trPr>
          <w:trHeight w:val="3534"/>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29786" w14:textId="77777777" w:rsidR="00941A91" w:rsidRPr="00941A91" w:rsidRDefault="00941A91" w:rsidP="00941A91">
            <w:pPr>
              <w:rPr>
                <w:rFonts w:cs="Arial"/>
                <w:color w:val="000000"/>
                <w:sz w:val="22"/>
                <w:szCs w:val="22"/>
              </w:rPr>
            </w:pPr>
            <w:r w:rsidRPr="00941A91">
              <w:rPr>
                <w:rFonts w:cs="Arial"/>
                <w:color w:val="000000"/>
                <w:sz w:val="22"/>
                <w:szCs w:val="22"/>
              </w:rPr>
              <w:t>Wimbish Primary Academy serves a small rural community and has close links with the local Army Barracks. As a result, a significant proportion of pupils are eligible for service pupil premium funding, and pupil mobility is higher than average. The school academised in September 2023 and has undergone a period of rapid change, including new leadership, staffing and systems.</w:t>
            </w:r>
          </w:p>
          <w:p w14:paraId="219BC1CE" w14:textId="77777777" w:rsidR="00941A91" w:rsidRPr="00941A91" w:rsidRDefault="00941A91" w:rsidP="00941A91">
            <w:pPr>
              <w:rPr>
                <w:rFonts w:cs="Arial"/>
                <w:color w:val="000000"/>
                <w:sz w:val="22"/>
                <w:szCs w:val="22"/>
              </w:rPr>
            </w:pPr>
            <w:r w:rsidRPr="00941A91">
              <w:rPr>
                <w:rFonts w:cs="Arial"/>
                <w:color w:val="000000"/>
                <w:sz w:val="22"/>
                <w:szCs w:val="22"/>
              </w:rPr>
              <w:t>Our strategy recognises that disadvantage at Wimbish is shaped not only by economic factors, but also by instability, mobility, gaps in prior learning, and social and emotional factors linked to transition and family circumstances. While cohort sizes are small, the proportion of pupils facing multiple barriers to learning is high.</w:t>
            </w:r>
          </w:p>
          <w:p w14:paraId="6F66B24E" w14:textId="77777777" w:rsidR="00941A91" w:rsidRPr="00941A91" w:rsidRDefault="00941A91" w:rsidP="00941A91">
            <w:pPr>
              <w:rPr>
                <w:rFonts w:cs="Arial"/>
                <w:color w:val="000000"/>
                <w:sz w:val="22"/>
                <w:szCs w:val="22"/>
              </w:rPr>
            </w:pPr>
            <w:r w:rsidRPr="00941A91">
              <w:rPr>
                <w:rFonts w:cs="Arial"/>
                <w:color w:val="000000"/>
                <w:sz w:val="22"/>
                <w:szCs w:val="22"/>
              </w:rPr>
              <w:t>Our approach is rooted in the belief that high-quality teaching, strong relationships and a consistent, calm learning environment are essential in reducing the impact of disadvantage. We prioritise:</w:t>
            </w:r>
          </w:p>
          <w:p w14:paraId="51D35C90" w14:textId="5BEB02F7" w:rsidR="00941A91" w:rsidRPr="00941A91" w:rsidRDefault="00941A91" w:rsidP="00941A91">
            <w:pPr>
              <w:pStyle w:val="ListParagraph"/>
              <w:numPr>
                <w:ilvl w:val="0"/>
                <w:numId w:val="17"/>
              </w:numPr>
              <w:rPr>
                <w:rFonts w:cs="Arial"/>
                <w:color w:val="000000"/>
                <w:sz w:val="22"/>
                <w:szCs w:val="22"/>
              </w:rPr>
            </w:pPr>
            <w:r w:rsidRPr="00941A91">
              <w:rPr>
                <w:rFonts w:cs="Arial"/>
                <w:color w:val="000000"/>
                <w:sz w:val="22"/>
                <w:szCs w:val="22"/>
              </w:rPr>
              <w:t>establishing secure routines and expectations through relational and therapeutic behaviour approaches</w:t>
            </w:r>
          </w:p>
          <w:p w14:paraId="3492CE77" w14:textId="0F96307D" w:rsidR="00941A91" w:rsidRPr="00941A91" w:rsidRDefault="00941A91" w:rsidP="00941A91">
            <w:pPr>
              <w:pStyle w:val="ListParagraph"/>
              <w:numPr>
                <w:ilvl w:val="0"/>
                <w:numId w:val="17"/>
              </w:numPr>
              <w:rPr>
                <w:rFonts w:cs="Arial"/>
                <w:color w:val="000000"/>
                <w:sz w:val="22"/>
                <w:szCs w:val="22"/>
              </w:rPr>
            </w:pPr>
            <w:r w:rsidRPr="00941A91">
              <w:rPr>
                <w:rFonts w:cs="Arial"/>
                <w:color w:val="000000"/>
                <w:sz w:val="22"/>
                <w:szCs w:val="22"/>
              </w:rPr>
              <w:t>strengthening teaching and learning through consistent curriculum implementation and coaching</w:t>
            </w:r>
          </w:p>
          <w:p w14:paraId="7F077003" w14:textId="0CA00F48" w:rsidR="00941A91" w:rsidRPr="00941A91" w:rsidRDefault="00941A91" w:rsidP="00941A91">
            <w:pPr>
              <w:pStyle w:val="ListParagraph"/>
              <w:numPr>
                <w:ilvl w:val="0"/>
                <w:numId w:val="17"/>
              </w:numPr>
              <w:rPr>
                <w:rFonts w:cs="Arial"/>
                <w:color w:val="000000"/>
                <w:sz w:val="22"/>
                <w:szCs w:val="22"/>
              </w:rPr>
            </w:pPr>
            <w:r w:rsidRPr="00941A91">
              <w:rPr>
                <w:rFonts w:cs="Arial"/>
                <w:color w:val="000000"/>
                <w:sz w:val="22"/>
                <w:szCs w:val="22"/>
              </w:rPr>
              <w:t>responding quickly to emerging need through assessment-informed intervention</w:t>
            </w:r>
          </w:p>
          <w:p w14:paraId="5B61198D" w14:textId="77777777" w:rsidR="00941A91" w:rsidRPr="00941A91" w:rsidRDefault="00941A91" w:rsidP="00941A91">
            <w:pPr>
              <w:rPr>
                <w:rFonts w:cs="Arial"/>
                <w:color w:val="000000"/>
                <w:sz w:val="22"/>
                <w:szCs w:val="22"/>
              </w:rPr>
            </w:pPr>
            <w:r w:rsidRPr="00941A91">
              <w:rPr>
                <w:rFonts w:cs="Arial"/>
                <w:color w:val="000000"/>
                <w:sz w:val="22"/>
                <w:szCs w:val="22"/>
              </w:rPr>
              <w:t>This strategy aligns closely with the School Development Plan (2025–26), particularly priorities relating to behaviour and belonging, quality of provision, adaptive teaching and inclusion. Planning for pupil premium, service pupil premium and SEND is integrated to ensure a coherent and responsive approach to supporting pupils with overlapping needs.</w:t>
            </w:r>
          </w:p>
          <w:p w14:paraId="371E16CE" w14:textId="77777777" w:rsidR="00941A91" w:rsidRPr="00941A91" w:rsidRDefault="00941A91" w:rsidP="00941A91">
            <w:pPr>
              <w:rPr>
                <w:rFonts w:cs="Arial"/>
                <w:color w:val="000000"/>
                <w:sz w:val="22"/>
                <w:szCs w:val="22"/>
              </w:rPr>
            </w:pPr>
            <w:r w:rsidRPr="00941A91">
              <w:rPr>
                <w:rFonts w:cs="Arial"/>
                <w:color w:val="000000"/>
                <w:sz w:val="22"/>
                <w:szCs w:val="22"/>
              </w:rPr>
              <w:t>Our aim is that all disadvantaged pupils at Wimbish:</w:t>
            </w:r>
          </w:p>
          <w:p w14:paraId="185DBBD9" w14:textId="68B51420" w:rsidR="00941A91" w:rsidRPr="00941A91" w:rsidRDefault="00941A91" w:rsidP="00941A91">
            <w:pPr>
              <w:pStyle w:val="ListParagraph"/>
              <w:numPr>
                <w:ilvl w:val="0"/>
                <w:numId w:val="18"/>
              </w:numPr>
              <w:rPr>
                <w:rFonts w:cs="Arial"/>
                <w:color w:val="000000"/>
                <w:sz w:val="22"/>
                <w:szCs w:val="22"/>
              </w:rPr>
            </w:pPr>
            <w:r w:rsidRPr="00941A91">
              <w:rPr>
                <w:rFonts w:cs="Arial"/>
                <w:color w:val="000000"/>
                <w:sz w:val="22"/>
                <w:szCs w:val="22"/>
              </w:rPr>
              <w:t>feel safe, settled and included within the school community</w:t>
            </w:r>
          </w:p>
          <w:p w14:paraId="5EFC3398" w14:textId="64C1E030" w:rsidR="00941A91" w:rsidRPr="00941A91" w:rsidRDefault="00941A91" w:rsidP="00941A91">
            <w:pPr>
              <w:pStyle w:val="ListParagraph"/>
              <w:numPr>
                <w:ilvl w:val="0"/>
                <w:numId w:val="18"/>
              </w:numPr>
              <w:rPr>
                <w:rFonts w:cs="Arial"/>
                <w:color w:val="000000"/>
                <w:sz w:val="22"/>
                <w:szCs w:val="22"/>
              </w:rPr>
            </w:pPr>
            <w:r w:rsidRPr="00941A91">
              <w:rPr>
                <w:rFonts w:cs="Arial"/>
                <w:color w:val="000000"/>
                <w:sz w:val="22"/>
                <w:szCs w:val="22"/>
              </w:rPr>
              <w:t>are emotionally ready to engage with learning</w:t>
            </w:r>
          </w:p>
          <w:p w14:paraId="0C543E2A" w14:textId="4D82A775" w:rsidR="00941A91" w:rsidRPr="00941A91" w:rsidRDefault="00941A91" w:rsidP="00941A91">
            <w:pPr>
              <w:pStyle w:val="ListParagraph"/>
              <w:numPr>
                <w:ilvl w:val="0"/>
                <w:numId w:val="18"/>
              </w:numPr>
              <w:rPr>
                <w:rFonts w:cs="Arial"/>
                <w:color w:val="000000"/>
                <w:sz w:val="22"/>
                <w:szCs w:val="22"/>
              </w:rPr>
            </w:pPr>
            <w:r w:rsidRPr="00941A91">
              <w:rPr>
                <w:rFonts w:cs="Arial"/>
                <w:color w:val="000000"/>
                <w:sz w:val="22"/>
                <w:szCs w:val="22"/>
              </w:rPr>
              <w:t>make sustained progress from their starting points</w:t>
            </w:r>
          </w:p>
          <w:p w14:paraId="2A7D54E9" w14:textId="6510924A" w:rsidR="00151D68" w:rsidRPr="00941A91" w:rsidRDefault="00941A91" w:rsidP="00941A91">
            <w:pPr>
              <w:pStyle w:val="ListParagraph"/>
              <w:numPr>
                <w:ilvl w:val="0"/>
                <w:numId w:val="18"/>
              </w:numPr>
              <w:rPr>
                <w:rFonts w:cs="Arial"/>
                <w:color w:val="000000"/>
                <w:sz w:val="22"/>
                <w:szCs w:val="22"/>
              </w:rPr>
            </w:pPr>
            <w:r w:rsidRPr="00941A91">
              <w:rPr>
                <w:rFonts w:cs="Arial"/>
                <w:color w:val="000000"/>
                <w:sz w:val="22"/>
                <w:szCs w:val="22"/>
              </w:rPr>
              <w:t>experience continuity and support, even where time at the school is short</w:t>
            </w:r>
          </w:p>
        </w:tc>
      </w:tr>
    </w:tbl>
    <w:p w14:paraId="3B42368F" w14:textId="77777777" w:rsidR="00941A91" w:rsidRDefault="00941A91" w:rsidP="00941A91"/>
    <w:p w14:paraId="414DD92F" w14:textId="77777777" w:rsidR="00941A91" w:rsidRDefault="00941A91" w:rsidP="00941A91"/>
    <w:p w14:paraId="723EB8ED" w14:textId="77777777" w:rsidR="00941A91" w:rsidRDefault="00941A91">
      <w:pPr>
        <w:suppressAutoHyphens w:val="0"/>
        <w:spacing w:after="0" w:line="240" w:lineRule="auto"/>
        <w:rPr>
          <w:b/>
          <w:color w:val="104F75"/>
          <w:sz w:val="32"/>
          <w:szCs w:val="32"/>
        </w:rPr>
      </w:pPr>
      <w:r>
        <w:br w:type="page"/>
      </w:r>
    </w:p>
    <w:p w14:paraId="2A7D54EB" w14:textId="20AB99F9" w:rsidR="00E66558" w:rsidRDefault="009D71E8" w:rsidP="00941A91">
      <w:pPr>
        <w:pStyle w:val="Heading2"/>
      </w:pPr>
      <w:r>
        <w:lastRenderedPageBreak/>
        <w:t>Challenges</w:t>
      </w:r>
    </w:p>
    <w:p w14:paraId="2A7D54EC" w14:textId="77777777" w:rsidR="00E66558" w:rsidRDefault="009D71E8" w:rsidP="00941A91">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941A91">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941A91">
            <w:r>
              <w:t xml:space="preserve">Detail of challenge </w:t>
            </w:r>
          </w:p>
        </w:tc>
      </w:tr>
      <w:tr w:rsidR="00941A91"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2A21EC63" w:rsidR="00941A91" w:rsidRDefault="00941A91" w:rsidP="00941A91">
            <w:pPr>
              <w:rPr>
                <w:sz w:val="22"/>
                <w:szCs w:val="22"/>
              </w:rPr>
            </w:pPr>
            <w:r w:rsidRPr="00BB489E">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A5481" w14:textId="77777777" w:rsidR="00941A91" w:rsidRDefault="00941A91" w:rsidP="00941A91">
            <w:r w:rsidRPr="00BB489E">
              <w:t xml:space="preserve">School transition and instability </w:t>
            </w:r>
          </w:p>
          <w:p w14:paraId="2A7D54F1" w14:textId="6C3615AC" w:rsidR="00941A91" w:rsidRDefault="00941A91" w:rsidP="00941A91">
            <w:r w:rsidRPr="00BB489E">
              <w:t>Academisation and staffing changes have required pupils to adjust to new routines, expectations and relationships, impacting consistency of learning.</w:t>
            </w:r>
          </w:p>
        </w:tc>
      </w:tr>
      <w:tr w:rsidR="00941A91"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BD454AB" w:rsidR="00941A91" w:rsidRDefault="00941A91" w:rsidP="00941A91">
            <w:pPr>
              <w:rPr>
                <w:sz w:val="22"/>
                <w:szCs w:val="22"/>
              </w:rPr>
            </w:pPr>
            <w:r w:rsidRPr="00BB489E">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2105" w14:textId="77777777" w:rsidR="00941A91" w:rsidRDefault="00941A91" w:rsidP="00941A91">
            <w:r w:rsidRPr="00BB489E">
              <w:t xml:space="preserve">Behaviour and readiness to learn </w:t>
            </w:r>
          </w:p>
          <w:p w14:paraId="2A7D54F4" w14:textId="08CBD7E5" w:rsidR="00941A91" w:rsidRDefault="00941A91" w:rsidP="00941A91">
            <w:pPr>
              <w:rPr>
                <w:sz w:val="22"/>
                <w:szCs w:val="22"/>
              </w:rPr>
            </w:pPr>
            <w:r w:rsidRPr="00BB489E">
              <w:t>Some pupils require additional support to regulate emotions and engage positively with learning, particularly following transitions or changes in routine.</w:t>
            </w:r>
          </w:p>
        </w:tc>
      </w:tr>
      <w:tr w:rsidR="00941A91"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410B2FCB" w:rsidR="00941A91" w:rsidRDefault="00941A91" w:rsidP="00941A91">
            <w:pPr>
              <w:rPr>
                <w:sz w:val="22"/>
                <w:szCs w:val="22"/>
              </w:rPr>
            </w:pPr>
            <w:r w:rsidRPr="00BB489E">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1AF3" w14:textId="77777777" w:rsidR="00941A91" w:rsidRDefault="00941A91" w:rsidP="00941A91">
            <w:r w:rsidRPr="00BB489E">
              <w:t xml:space="preserve">Gaps in assessment and tracking </w:t>
            </w:r>
          </w:p>
          <w:p w14:paraId="2A7D54F7" w14:textId="43F81597" w:rsidR="00941A91" w:rsidRDefault="00941A91" w:rsidP="00941A91">
            <w:pPr>
              <w:rPr>
                <w:sz w:val="22"/>
                <w:szCs w:val="22"/>
              </w:rPr>
            </w:pPr>
            <w:r w:rsidRPr="00BB489E">
              <w:t>Historic inconsistency in record keeping and assessment prior to academisation has limited baseline information for some pupils.</w:t>
            </w:r>
          </w:p>
        </w:tc>
      </w:tr>
      <w:tr w:rsidR="00941A91"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558A931A" w:rsidR="00941A91" w:rsidRDefault="00941A91" w:rsidP="00941A91">
            <w:pPr>
              <w:rPr>
                <w:sz w:val="22"/>
                <w:szCs w:val="22"/>
              </w:rPr>
            </w:pPr>
            <w:r w:rsidRPr="00BB489E">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FF47" w14:textId="77777777" w:rsidR="00941A91" w:rsidRDefault="00941A91" w:rsidP="00941A91">
            <w:r w:rsidRPr="00BB489E">
              <w:t xml:space="preserve">Attainment gaps </w:t>
            </w:r>
          </w:p>
          <w:p w14:paraId="2A7D54FA" w14:textId="5B70B41F" w:rsidR="00941A91" w:rsidRDefault="00941A91" w:rsidP="00941A91">
            <w:pPr>
              <w:rPr>
                <w:iCs/>
                <w:sz w:val="22"/>
              </w:rPr>
            </w:pPr>
            <w:r w:rsidRPr="00BB489E">
              <w:t>Some disadvantaged pupils have gaps in reading, writing and mathematics linked to disrupted learning or limited continuity.</w:t>
            </w:r>
          </w:p>
        </w:tc>
      </w:tr>
      <w:tr w:rsidR="00941A91"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1C729CF2" w:rsidR="00941A91" w:rsidRDefault="00941A91" w:rsidP="00941A91">
            <w:pPr>
              <w:rPr>
                <w:sz w:val="22"/>
                <w:szCs w:val="22"/>
              </w:rPr>
            </w:pPr>
            <w:r w:rsidRPr="00BB489E">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7FAC" w14:textId="77777777" w:rsidR="00941A91" w:rsidRDefault="00941A91" w:rsidP="00941A91">
            <w:r w:rsidRPr="00BB489E">
              <w:t xml:space="preserve">Parental engagement </w:t>
            </w:r>
          </w:p>
          <w:p w14:paraId="2A7D54FD" w14:textId="5AC3C759" w:rsidR="00941A91" w:rsidRDefault="00941A91" w:rsidP="00941A91">
            <w:pPr>
              <w:rPr>
                <w:iCs/>
                <w:sz w:val="22"/>
              </w:rPr>
            </w:pPr>
            <w:r w:rsidRPr="00BB489E">
              <w:t>Engagement with some families is inconsistent, often linked to mobility, deployment or wider family pressures.</w:t>
            </w:r>
          </w:p>
        </w:tc>
      </w:tr>
      <w:tr w:rsidR="00941A91" w14:paraId="5E00661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EE9A" w14:textId="1A2F94B4" w:rsidR="00941A91" w:rsidRDefault="00941A91" w:rsidP="00941A91">
            <w:pPr>
              <w:rPr>
                <w:sz w:val="22"/>
                <w:szCs w:val="22"/>
              </w:rPr>
            </w:pPr>
            <w:r w:rsidRPr="00BB489E">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8FAC9" w14:textId="77777777" w:rsidR="00941A91" w:rsidRDefault="00941A91" w:rsidP="00941A91">
            <w:r w:rsidRPr="00BB489E">
              <w:t xml:space="preserve">Co-occurring SEND </w:t>
            </w:r>
          </w:p>
          <w:p w14:paraId="00FF522E" w14:textId="047518E7" w:rsidR="00941A91" w:rsidRDefault="00941A91" w:rsidP="00941A91">
            <w:pPr>
              <w:rPr>
                <w:iCs/>
                <w:sz w:val="22"/>
              </w:rPr>
            </w:pPr>
            <w:r w:rsidRPr="00BB489E">
              <w:t>A number of pupils eligible for pupil premium or service premium funding also have SEND, requiring carefully coordinated and individualised support.</w:t>
            </w:r>
          </w:p>
        </w:tc>
      </w:tr>
    </w:tbl>
    <w:p w14:paraId="29D4D57F" w14:textId="77777777" w:rsidR="00941A91" w:rsidRDefault="00941A91" w:rsidP="00941A91">
      <w:bookmarkStart w:id="16" w:name="_Toc443397160"/>
    </w:p>
    <w:p w14:paraId="14589034" w14:textId="77777777" w:rsidR="00941A91" w:rsidRDefault="00941A91" w:rsidP="00941A91"/>
    <w:p w14:paraId="4A41A4FD" w14:textId="77777777" w:rsidR="00941A91" w:rsidRDefault="00941A91" w:rsidP="00941A91"/>
    <w:p w14:paraId="2740DA5E" w14:textId="77777777" w:rsidR="00941A91" w:rsidRDefault="00941A91" w:rsidP="00941A91"/>
    <w:p w14:paraId="2A7D54FF" w14:textId="536365AF" w:rsidR="00E66558" w:rsidRDefault="009D71E8" w:rsidP="00941A91">
      <w:pPr>
        <w:pStyle w:val="Heading2"/>
      </w:pPr>
      <w:r>
        <w:lastRenderedPageBreak/>
        <w:t xml:space="preserve">Intended </w:t>
      </w:r>
      <w:r w:rsidRPr="00A968DA">
        <w:t>outcomes</w:t>
      </w:r>
      <w:r>
        <w:t xml:space="preserve"> </w:t>
      </w:r>
    </w:p>
    <w:p w14:paraId="2A7D5500" w14:textId="77777777" w:rsidR="00E66558" w:rsidRDefault="009D71E8" w:rsidP="00941A91">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5"/>
        <w:gridCol w:w="4671"/>
      </w:tblGrid>
      <w:tr w:rsidR="00E66558" w14:paraId="2A7D5503" w14:textId="77777777" w:rsidTr="00941A91">
        <w:tc>
          <w:tcPr>
            <w:tcW w:w="4815" w:type="dxa"/>
            <w:shd w:val="clear" w:color="auto" w:fill="CFDCE3"/>
            <w:tcMar>
              <w:top w:w="0" w:type="dxa"/>
              <w:left w:w="108" w:type="dxa"/>
              <w:bottom w:w="0" w:type="dxa"/>
              <w:right w:w="108" w:type="dxa"/>
            </w:tcMar>
          </w:tcPr>
          <w:p w14:paraId="2A7D5501" w14:textId="77777777" w:rsidR="00E66558" w:rsidRDefault="009D71E8" w:rsidP="00941A91">
            <w:r>
              <w:t>Intended outcome</w:t>
            </w:r>
          </w:p>
        </w:tc>
        <w:tc>
          <w:tcPr>
            <w:tcW w:w="4671" w:type="dxa"/>
            <w:shd w:val="clear" w:color="auto" w:fill="CFDCE3"/>
            <w:tcMar>
              <w:top w:w="0" w:type="dxa"/>
              <w:left w:w="108" w:type="dxa"/>
              <w:bottom w:w="0" w:type="dxa"/>
              <w:right w:w="108" w:type="dxa"/>
            </w:tcMar>
          </w:tcPr>
          <w:p w14:paraId="2A7D5502" w14:textId="77777777" w:rsidR="00E66558" w:rsidRDefault="009D71E8" w:rsidP="00941A91">
            <w:r>
              <w:t>Success criteria</w:t>
            </w:r>
          </w:p>
        </w:tc>
      </w:tr>
      <w:tr w:rsidR="00941A91" w14:paraId="28F96DF7" w14:textId="77777777" w:rsidTr="00941A91">
        <w:tc>
          <w:tcPr>
            <w:tcW w:w="4815" w:type="dxa"/>
            <w:tcMar>
              <w:top w:w="0" w:type="dxa"/>
              <w:left w:w="108" w:type="dxa"/>
              <w:bottom w:w="0" w:type="dxa"/>
              <w:right w:w="108" w:type="dxa"/>
            </w:tcMar>
            <w:vAlign w:val="center"/>
          </w:tcPr>
          <w:p w14:paraId="5C0DA926" w14:textId="069285EC" w:rsidR="00941A91" w:rsidRDefault="00941A91" w:rsidP="00941A91">
            <w:pPr>
              <w:rPr>
                <w:color w:val="000000"/>
                <w:sz w:val="27"/>
                <w:szCs w:val="27"/>
              </w:rPr>
            </w:pPr>
            <w:r w:rsidRPr="00617008">
              <w:t>Improved progress from starting points</w:t>
            </w:r>
          </w:p>
        </w:tc>
        <w:tc>
          <w:tcPr>
            <w:tcW w:w="4671" w:type="dxa"/>
            <w:tcMar>
              <w:top w:w="0" w:type="dxa"/>
              <w:left w:w="108" w:type="dxa"/>
              <w:bottom w:w="0" w:type="dxa"/>
              <w:right w:w="108" w:type="dxa"/>
            </w:tcMar>
            <w:vAlign w:val="center"/>
          </w:tcPr>
          <w:p w14:paraId="131F0B19" w14:textId="3E286489" w:rsidR="00941A91" w:rsidRDefault="00941A91" w:rsidP="00941A91">
            <w:pPr>
              <w:rPr>
                <w:sz w:val="22"/>
                <w:szCs w:val="22"/>
              </w:rPr>
            </w:pPr>
            <w:r w:rsidRPr="00617008">
              <w:t>Disadvantaged pupils make expected or better progress in reading, writing and mathematics from individual baselines.</w:t>
            </w:r>
          </w:p>
        </w:tc>
      </w:tr>
      <w:tr w:rsidR="00941A91" w14:paraId="2A7D5506" w14:textId="77777777" w:rsidTr="00941A91">
        <w:tc>
          <w:tcPr>
            <w:tcW w:w="4815" w:type="dxa"/>
            <w:tcMar>
              <w:top w:w="0" w:type="dxa"/>
              <w:left w:w="108" w:type="dxa"/>
              <w:bottom w:w="0" w:type="dxa"/>
              <w:right w:w="108" w:type="dxa"/>
            </w:tcMar>
            <w:vAlign w:val="center"/>
          </w:tcPr>
          <w:p w14:paraId="2A7D5504" w14:textId="2EA59F48" w:rsidR="00941A91" w:rsidRDefault="00941A91" w:rsidP="00941A91">
            <w:r w:rsidRPr="00617008">
              <w:t>Consistent teaching and curriculum access</w:t>
            </w:r>
          </w:p>
        </w:tc>
        <w:tc>
          <w:tcPr>
            <w:tcW w:w="4671" w:type="dxa"/>
            <w:tcMar>
              <w:top w:w="0" w:type="dxa"/>
              <w:left w:w="108" w:type="dxa"/>
              <w:bottom w:w="0" w:type="dxa"/>
              <w:right w:w="108" w:type="dxa"/>
            </w:tcMar>
            <w:vAlign w:val="center"/>
          </w:tcPr>
          <w:p w14:paraId="2A7D5505" w14:textId="22DC59E3" w:rsidR="00941A91" w:rsidRDefault="00941A91" w:rsidP="00941A91">
            <w:pPr>
              <w:rPr>
                <w:sz w:val="22"/>
                <w:szCs w:val="22"/>
              </w:rPr>
            </w:pPr>
            <w:r w:rsidRPr="00617008">
              <w:t>Teaching and learning expectations are consistent across the school, enabling all pupils to access an ambitious curriculum.</w:t>
            </w:r>
          </w:p>
        </w:tc>
      </w:tr>
      <w:tr w:rsidR="00941A91" w14:paraId="2A7D5509" w14:textId="77777777" w:rsidTr="00941A91">
        <w:tc>
          <w:tcPr>
            <w:tcW w:w="4815" w:type="dxa"/>
            <w:tcMar>
              <w:top w:w="0" w:type="dxa"/>
              <w:left w:w="108" w:type="dxa"/>
              <w:bottom w:w="0" w:type="dxa"/>
              <w:right w:w="108" w:type="dxa"/>
            </w:tcMar>
            <w:vAlign w:val="center"/>
          </w:tcPr>
          <w:p w14:paraId="2A7D5507" w14:textId="7A710CF0" w:rsidR="00941A91" w:rsidRPr="00676C17" w:rsidRDefault="00941A91" w:rsidP="00941A91">
            <w:pPr>
              <w:rPr>
                <w:rFonts w:cs="Arial"/>
                <w:color w:val="000000"/>
              </w:rPr>
            </w:pPr>
            <w:r w:rsidRPr="00617008">
              <w:t>Strong pastoral support</w:t>
            </w:r>
          </w:p>
        </w:tc>
        <w:tc>
          <w:tcPr>
            <w:tcW w:w="4671" w:type="dxa"/>
            <w:tcMar>
              <w:top w:w="0" w:type="dxa"/>
              <w:left w:w="108" w:type="dxa"/>
              <w:bottom w:w="0" w:type="dxa"/>
              <w:right w:w="108" w:type="dxa"/>
            </w:tcMar>
            <w:vAlign w:val="center"/>
          </w:tcPr>
          <w:p w14:paraId="2A7D5508" w14:textId="5E0A4B39" w:rsidR="00941A91" w:rsidRPr="00320DF6" w:rsidRDefault="00941A91" w:rsidP="00941A91">
            <w:pPr>
              <w:rPr>
                <w:rFonts w:cs="Arial"/>
                <w:color w:val="EE0000"/>
              </w:rPr>
            </w:pPr>
            <w:r w:rsidRPr="00617008">
              <w:t>Pupils feel supported, safe and settled, particularly during transition into or out of the school.</w:t>
            </w:r>
          </w:p>
        </w:tc>
      </w:tr>
      <w:tr w:rsidR="00941A91" w14:paraId="2A7D550C" w14:textId="77777777" w:rsidTr="00941A91">
        <w:tc>
          <w:tcPr>
            <w:tcW w:w="4815" w:type="dxa"/>
            <w:tcMar>
              <w:top w:w="0" w:type="dxa"/>
              <w:left w:w="108" w:type="dxa"/>
              <w:bottom w:w="0" w:type="dxa"/>
              <w:right w:w="108" w:type="dxa"/>
            </w:tcMar>
            <w:vAlign w:val="center"/>
          </w:tcPr>
          <w:p w14:paraId="2A7D550A" w14:textId="4BF4A33F" w:rsidR="00941A91" w:rsidRPr="00676C17" w:rsidRDefault="00941A91" w:rsidP="00941A91">
            <w:pPr>
              <w:rPr>
                <w:rFonts w:cs="Arial"/>
                <w:sz w:val="22"/>
                <w:szCs w:val="22"/>
              </w:rPr>
            </w:pPr>
            <w:r w:rsidRPr="00617008">
              <w:t>Positive family engagement</w:t>
            </w:r>
          </w:p>
        </w:tc>
        <w:tc>
          <w:tcPr>
            <w:tcW w:w="4671" w:type="dxa"/>
            <w:tcMar>
              <w:top w:w="0" w:type="dxa"/>
              <w:left w:w="108" w:type="dxa"/>
              <w:bottom w:w="0" w:type="dxa"/>
              <w:right w:w="108" w:type="dxa"/>
            </w:tcMar>
            <w:vAlign w:val="center"/>
          </w:tcPr>
          <w:p w14:paraId="2A7D550B" w14:textId="0327840D" w:rsidR="00941A91" w:rsidRPr="00676C17" w:rsidRDefault="00941A91" w:rsidP="00941A91">
            <w:pPr>
              <w:rPr>
                <w:rFonts w:cs="Arial"/>
                <w:sz w:val="22"/>
                <w:szCs w:val="22"/>
              </w:rPr>
            </w:pPr>
            <w:r w:rsidRPr="00617008">
              <w:t>Communication with families is strengthened and parents feel informed, supported and involved.</w:t>
            </w:r>
          </w:p>
        </w:tc>
      </w:tr>
    </w:tbl>
    <w:p w14:paraId="60BAD9F6" w14:textId="77777777" w:rsidR="00120AB1" w:rsidRDefault="00120AB1" w:rsidP="00941A91"/>
    <w:p w14:paraId="2A06959E" w14:textId="2218981A" w:rsidR="00120AB1" w:rsidRDefault="00120AB1" w:rsidP="00941A91"/>
    <w:p w14:paraId="2812C889" w14:textId="77777777" w:rsidR="00941A91" w:rsidRDefault="00941A91" w:rsidP="00941A91"/>
    <w:p w14:paraId="74319873" w14:textId="77777777" w:rsidR="00941A91" w:rsidRDefault="00941A91" w:rsidP="00941A91"/>
    <w:p w14:paraId="2F2CD78E" w14:textId="77777777" w:rsidR="00941A91" w:rsidRDefault="00941A91" w:rsidP="00941A91"/>
    <w:p w14:paraId="15EB8CAD" w14:textId="77777777" w:rsidR="00941A91" w:rsidRDefault="00941A91" w:rsidP="00941A91"/>
    <w:p w14:paraId="471C8C12" w14:textId="77777777" w:rsidR="00941A91" w:rsidRDefault="00941A91" w:rsidP="00941A91"/>
    <w:p w14:paraId="1B074625" w14:textId="77777777" w:rsidR="00941A91" w:rsidRDefault="00941A91" w:rsidP="00941A91"/>
    <w:p w14:paraId="7B48386C" w14:textId="77777777" w:rsidR="00941A91" w:rsidRDefault="00941A91" w:rsidP="00941A91"/>
    <w:p w14:paraId="2E5355AF" w14:textId="77777777" w:rsidR="00941A91" w:rsidRDefault="00941A91" w:rsidP="00941A91"/>
    <w:p w14:paraId="14F07C73" w14:textId="77777777" w:rsidR="00941A91" w:rsidRDefault="00941A91" w:rsidP="00941A91"/>
    <w:p w14:paraId="2A7D5512" w14:textId="7B489199" w:rsidR="00E66558" w:rsidRDefault="009D71E8" w:rsidP="00941A91">
      <w:pPr>
        <w:pStyle w:val="Heading2"/>
      </w:pPr>
      <w:r>
        <w:lastRenderedPageBreak/>
        <w:t>Activity in this academic year</w:t>
      </w:r>
    </w:p>
    <w:p w14:paraId="2A7D5513" w14:textId="603E7BD1" w:rsidR="00E66558" w:rsidRDefault="009D71E8" w:rsidP="00941A91">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rsidP="00941A91">
      <w:r>
        <w:t>Teaching (for example, CPD, recruitment and retention)</w:t>
      </w:r>
    </w:p>
    <w:p w14:paraId="714B9EC5" w14:textId="2C52AED3" w:rsidR="00706BB5" w:rsidRPr="00706BB5" w:rsidRDefault="00706BB5" w:rsidP="00941A91">
      <w:r>
        <w:t>Budget: £</w:t>
      </w:r>
      <w:r w:rsidRPr="00706BB5">
        <w:t>4,600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97"/>
        <w:gridCol w:w="4253"/>
        <w:gridCol w:w="1836"/>
      </w:tblGrid>
      <w:tr w:rsidR="00E66558" w14:paraId="2A7D5519" w14:textId="77777777" w:rsidTr="00941A91">
        <w:tc>
          <w:tcPr>
            <w:tcW w:w="3397" w:type="dxa"/>
            <w:shd w:val="clear" w:color="auto" w:fill="CFDCE3"/>
            <w:tcMar>
              <w:top w:w="0" w:type="dxa"/>
              <w:left w:w="108" w:type="dxa"/>
              <w:bottom w:w="0" w:type="dxa"/>
              <w:right w:w="108" w:type="dxa"/>
            </w:tcMar>
          </w:tcPr>
          <w:p w14:paraId="2A7D5516" w14:textId="77777777" w:rsidR="00E66558" w:rsidRDefault="009D71E8" w:rsidP="00941A91">
            <w:r>
              <w:t>Activity</w:t>
            </w:r>
          </w:p>
        </w:tc>
        <w:tc>
          <w:tcPr>
            <w:tcW w:w="4253" w:type="dxa"/>
            <w:shd w:val="clear" w:color="auto" w:fill="CFDCE3"/>
            <w:tcMar>
              <w:top w:w="0" w:type="dxa"/>
              <w:left w:w="108" w:type="dxa"/>
              <w:bottom w:w="0" w:type="dxa"/>
              <w:right w:w="108" w:type="dxa"/>
            </w:tcMar>
          </w:tcPr>
          <w:p w14:paraId="2A7D5517" w14:textId="77777777" w:rsidR="00E66558" w:rsidRDefault="009D71E8" w:rsidP="00941A91">
            <w:r>
              <w:t>Evidence that supports this approach</w:t>
            </w:r>
          </w:p>
        </w:tc>
        <w:tc>
          <w:tcPr>
            <w:tcW w:w="1836" w:type="dxa"/>
            <w:shd w:val="clear" w:color="auto" w:fill="CFDCE3"/>
            <w:tcMar>
              <w:top w:w="0" w:type="dxa"/>
              <w:left w:w="108" w:type="dxa"/>
              <w:bottom w:w="0" w:type="dxa"/>
              <w:right w:w="108" w:type="dxa"/>
            </w:tcMar>
          </w:tcPr>
          <w:p w14:paraId="2A7D5518" w14:textId="77777777" w:rsidR="00E66558" w:rsidRDefault="009D71E8" w:rsidP="00941A91">
            <w:r>
              <w:t>Challenge number(s) addressed</w:t>
            </w:r>
          </w:p>
        </w:tc>
      </w:tr>
      <w:tr w:rsidR="00941A91" w14:paraId="2A7D5521" w14:textId="77777777" w:rsidTr="00941A91">
        <w:tc>
          <w:tcPr>
            <w:tcW w:w="3397" w:type="dxa"/>
            <w:tcMar>
              <w:top w:w="0" w:type="dxa"/>
              <w:left w:w="108" w:type="dxa"/>
              <w:bottom w:w="0" w:type="dxa"/>
              <w:right w:w="108" w:type="dxa"/>
            </w:tcMar>
            <w:vAlign w:val="center"/>
          </w:tcPr>
          <w:p w14:paraId="2A7D551E" w14:textId="108DEFC7" w:rsidR="00941A91" w:rsidRPr="00357139" w:rsidRDefault="00941A91" w:rsidP="00941A91">
            <w:pPr>
              <w:rPr>
                <w:rFonts w:cs="Arial"/>
                <w:sz w:val="18"/>
                <w:szCs w:val="18"/>
              </w:rPr>
            </w:pPr>
            <w:r w:rsidRPr="00617008">
              <w:t>Developmental coaching for teachers and TAs</w:t>
            </w:r>
          </w:p>
        </w:tc>
        <w:tc>
          <w:tcPr>
            <w:tcW w:w="4253" w:type="dxa"/>
            <w:tcMar>
              <w:top w:w="0" w:type="dxa"/>
              <w:left w:w="108" w:type="dxa"/>
              <w:bottom w:w="0" w:type="dxa"/>
              <w:right w:w="108" w:type="dxa"/>
            </w:tcMar>
            <w:vAlign w:val="center"/>
          </w:tcPr>
          <w:p w14:paraId="2A7D551F" w14:textId="65F31012" w:rsidR="00941A91" w:rsidRDefault="00941A91" w:rsidP="00941A91">
            <w:pPr>
              <w:rPr>
                <w:sz w:val="22"/>
              </w:rPr>
            </w:pPr>
            <w:r w:rsidRPr="00617008">
              <w:t>Regular coaching supports consistent implementation of behaviour approaches and high-quality teaching.</w:t>
            </w:r>
          </w:p>
        </w:tc>
        <w:tc>
          <w:tcPr>
            <w:tcW w:w="1836" w:type="dxa"/>
            <w:tcMar>
              <w:top w:w="0" w:type="dxa"/>
              <w:left w:w="108" w:type="dxa"/>
              <w:bottom w:w="0" w:type="dxa"/>
              <w:right w:w="108" w:type="dxa"/>
            </w:tcMar>
            <w:vAlign w:val="center"/>
          </w:tcPr>
          <w:p w14:paraId="2A7D5520" w14:textId="2DC36051" w:rsidR="00941A91" w:rsidRDefault="00941A91" w:rsidP="00941A91">
            <w:pPr>
              <w:rPr>
                <w:sz w:val="22"/>
              </w:rPr>
            </w:pPr>
            <w:r w:rsidRPr="00617008">
              <w:t>1, 2, 4, 6</w:t>
            </w:r>
          </w:p>
        </w:tc>
      </w:tr>
      <w:tr w:rsidR="00941A91" w14:paraId="34D7ED38" w14:textId="77777777" w:rsidTr="00941A91">
        <w:tc>
          <w:tcPr>
            <w:tcW w:w="3397" w:type="dxa"/>
            <w:tcMar>
              <w:top w:w="0" w:type="dxa"/>
              <w:left w:w="108" w:type="dxa"/>
              <w:bottom w:w="0" w:type="dxa"/>
              <w:right w:w="108" w:type="dxa"/>
            </w:tcMar>
            <w:vAlign w:val="center"/>
          </w:tcPr>
          <w:p w14:paraId="738D8F3C" w14:textId="722DCBD5" w:rsidR="00941A91" w:rsidRDefault="00941A91" w:rsidP="00941A91">
            <w:pPr>
              <w:rPr>
                <w:i/>
                <w:sz w:val="22"/>
              </w:rPr>
            </w:pPr>
            <w:r w:rsidRPr="00617008">
              <w:t>Training in therapeutic and relational behaviour approaches</w:t>
            </w:r>
          </w:p>
        </w:tc>
        <w:tc>
          <w:tcPr>
            <w:tcW w:w="4253" w:type="dxa"/>
            <w:tcMar>
              <w:top w:w="0" w:type="dxa"/>
              <w:left w:w="108" w:type="dxa"/>
              <w:bottom w:w="0" w:type="dxa"/>
              <w:right w:w="108" w:type="dxa"/>
            </w:tcMar>
            <w:vAlign w:val="center"/>
          </w:tcPr>
          <w:p w14:paraId="18BCE4F0" w14:textId="0EE20B30" w:rsidR="00941A91" w:rsidRDefault="00941A91" w:rsidP="00941A91">
            <w:pPr>
              <w:rPr>
                <w:sz w:val="22"/>
              </w:rPr>
            </w:pPr>
            <w:r w:rsidRPr="00617008">
              <w:t>A consistent behaviour approach supports emotional regulation and readiness to learn.</w:t>
            </w:r>
          </w:p>
        </w:tc>
        <w:tc>
          <w:tcPr>
            <w:tcW w:w="1836" w:type="dxa"/>
            <w:tcMar>
              <w:top w:w="0" w:type="dxa"/>
              <w:left w:w="108" w:type="dxa"/>
              <w:bottom w:w="0" w:type="dxa"/>
              <w:right w:w="108" w:type="dxa"/>
            </w:tcMar>
            <w:vAlign w:val="center"/>
          </w:tcPr>
          <w:p w14:paraId="21A793A5" w14:textId="2C11F739" w:rsidR="00941A91" w:rsidRDefault="00941A91" w:rsidP="00941A91">
            <w:pPr>
              <w:rPr>
                <w:sz w:val="22"/>
              </w:rPr>
            </w:pPr>
            <w:r w:rsidRPr="00617008">
              <w:t>2, 6</w:t>
            </w:r>
          </w:p>
        </w:tc>
      </w:tr>
      <w:tr w:rsidR="00941A91" w14:paraId="7209E303" w14:textId="77777777" w:rsidTr="00941A91">
        <w:tc>
          <w:tcPr>
            <w:tcW w:w="3397" w:type="dxa"/>
            <w:tcMar>
              <w:top w:w="0" w:type="dxa"/>
              <w:left w:w="108" w:type="dxa"/>
              <w:bottom w:w="0" w:type="dxa"/>
              <w:right w:w="108" w:type="dxa"/>
            </w:tcMar>
            <w:vAlign w:val="center"/>
          </w:tcPr>
          <w:p w14:paraId="42B09871" w14:textId="44E77306" w:rsidR="00941A91" w:rsidRDefault="00941A91" w:rsidP="00941A91">
            <w:pPr>
              <w:rPr>
                <w:i/>
                <w:sz w:val="22"/>
              </w:rPr>
            </w:pPr>
            <w:r w:rsidRPr="00617008">
              <w:t>Curriculum and assessment training</w:t>
            </w:r>
          </w:p>
        </w:tc>
        <w:tc>
          <w:tcPr>
            <w:tcW w:w="4253" w:type="dxa"/>
            <w:tcMar>
              <w:top w:w="0" w:type="dxa"/>
              <w:left w:w="108" w:type="dxa"/>
              <w:bottom w:w="0" w:type="dxa"/>
              <w:right w:w="108" w:type="dxa"/>
            </w:tcMar>
            <w:vAlign w:val="center"/>
          </w:tcPr>
          <w:p w14:paraId="0BD5017E" w14:textId="3F88C3DC" w:rsidR="00941A91" w:rsidRDefault="00941A91" w:rsidP="00941A91">
            <w:pPr>
              <w:rPr>
                <w:sz w:val="22"/>
              </w:rPr>
            </w:pPr>
            <w:r w:rsidRPr="00617008">
              <w:t>Staff training supports accurate assessment and curriculum delivery following academisation.</w:t>
            </w:r>
          </w:p>
        </w:tc>
        <w:tc>
          <w:tcPr>
            <w:tcW w:w="1836" w:type="dxa"/>
            <w:tcMar>
              <w:top w:w="0" w:type="dxa"/>
              <w:left w:w="108" w:type="dxa"/>
              <w:bottom w:w="0" w:type="dxa"/>
              <w:right w:w="108" w:type="dxa"/>
            </w:tcMar>
            <w:vAlign w:val="center"/>
          </w:tcPr>
          <w:p w14:paraId="05A6FB78" w14:textId="1FD3CB03" w:rsidR="00941A91" w:rsidRDefault="00941A91" w:rsidP="00941A91">
            <w:pPr>
              <w:rPr>
                <w:sz w:val="22"/>
              </w:rPr>
            </w:pPr>
            <w:r w:rsidRPr="00617008">
              <w:t>3, 4</w:t>
            </w:r>
          </w:p>
        </w:tc>
      </w:tr>
    </w:tbl>
    <w:p w14:paraId="2A7D5522" w14:textId="77777777" w:rsidR="00E66558" w:rsidRDefault="00E66558" w:rsidP="00941A91"/>
    <w:p w14:paraId="2A7D5523" w14:textId="5B2BE35F" w:rsidR="00E66558" w:rsidRPr="00AA355B" w:rsidRDefault="009D71E8" w:rsidP="00941A91">
      <w:r>
        <w:t xml:space="preserve">Targeted academic support (for example, </w:t>
      </w:r>
      <w:r w:rsidR="00D33FE5">
        <w:t>tutoring, one-to-one support</w:t>
      </w:r>
      <w:r w:rsidR="00F776E1">
        <w:t>,</w:t>
      </w:r>
      <w:r w:rsidR="00D33FE5">
        <w:t xml:space="preserve"> </w:t>
      </w:r>
      <w:r>
        <w:t xml:space="preserve">structured interventions) </w:t>
      </w:r>
    </w:p>
    <w:p w14:paraId="2A7D5524" w14:textId="66ED4ABF" w:rsidR="00E66558" w:rsidRDefault="00706BB5" w:rsidP="00941A91">
      <w:r>
        <w:t xml:space="preserve">Budget: </w:t>
      </w:r>
      <w:r w:rsidRPr="00706BB5">
        <w:t>£13,700</w:t>
      </w:r>
    </w:p>
    <w:tbl>
      <w:tblPr>
        <w:tblW w:w="5000" w:type="pct"/>
        <w:tblLayout w:type="fixed"/>
        <w:tblCellMar>
          <w:left w:w="10" w:type="dxa"/>
          <w:right w:w="10" w:type="dxa"/>
        </w:tblCellMar>
        <w:tblLook w:val="04A0" w:firstRow="1" w:lastRow="0" w:firstColumn="1" w:lastColumn="0" w:noHBand="0" w:noVBand="1"/>
      </w:tblPr>
      <w:tblGrid>
        <w:gridCol w:w="3397"/>
        <w:gridCol w:w="4253"/>
        <w:gridCol w:w="1836"/>
      </w:tblGrid>
      <w:tr w:rsidR="00E66558" w14:paraId="2A7D5528" w14:textId="77777777" w:rsidTr="00941A91">
        <w:tc>
          <w:tcPr>
            <w:tcW w:w="3397"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941A91">
            <w:r>
              <w:t>Activity</w:t>
            </w:r>
          </w:p>
        </w:tc>
        <w:tc>
          <w:tcPr>
            <w:tcW w:w="4253"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941A91">
            <w:r>
              <w:t>Evidence that supports this approach</w:t>
            </w:r>
          </w:p>
        </w:tc>
        <w:tc>
          <w:tcPr>
            <w:tcW w:w="1836"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941A91">
            <w:r>
              <w:t>Challenge number(s) addressed</w:t>
            </w:r>
          </w:p>
        </w:tc>
      </w:tr>
      <w:tr w:rsidR="00941A91" w14:paraId="2A7D552C"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9" w14:textId="315270E9" w:rsidR="00941A91" w:rsidRPr="00A02F1C" w:rsidRDefault="00941A91" w:rsidP="00941A91">
            <w:pPr>
              <w:rPr>
                <w:iCs/>
                <w:szCs w:val="28"/>
              </w:rPr>
            </w:pPr>
            <w:r w:rsidRPr="00617008">
              <w:t>Whole-school standardised assessments (GL assessments)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A" w14:textId="42C258E9" w:rsidR="00941A91" w:rsidRDefault="00941A91" w:rsidP="00941A91">
            <w:pPr>
              <w:rPr>
                <w:sz w:val="22"/>
              </w:rPr>
            </w:pPr>
            <w:r w:rsidRPr="00617008">
              <w:t>Provides reliable data to identify gaps and inform provision in small cohorts.</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B" w14:textId="34D9BA50" w:rsidR="00941A91" w:rsidRDefault="00941A91" w:rsidP="00941A91">
            <w:pPr>
              <w:rPr>
                <w:sz w:val="22"/>
              </w:rPr>
            </w:pPr>
            <w:r w:rsidRPr="00617008">
              <w:t>3, 4</w:t>
            </w:r>
          </w:p>
        </w:tc>
      </w:tr>
      <w:tr w:rsidR="00941A91" w14:paraId="2A7D5530"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D" w14:textId="1FCD5679" w:rsidR="00941A91" w:rsidRPr="00A02F1C" w:rsidRDefault="00941A91" w:rsidP="00941A91">
            <w:pPr>
              <w:rPr>
                <w:iCs/>
                <w:szCs w:val="28"/>
              </w:rPr>
            </w:pPr>
            <w:r w:rsidRPr="00617008">
              <w:t>Specialist diagnostic assessments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E" w14:textId="237B1768" w:rsidR="00941A91" w:rsidRDefault="00941A91" w:rsidP="00941A91">
            <w:pPr>
              <w:rPr>
                <w:sz w:val="22"/>
              </w:rPr>
            </w:pPr>
            <w:r w:rsidRPr="00617008">
              <w:t>Enables precise identification of barriers and targeted support.</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2F" w14:textId="443DB424" w:rsidR="00941A91" w:rsidRDefault="00941A91" w:rsidP="00941A91">
            <w:pPr>
              <w:rPr>
                <w:sz w:val="22"/>
              </w:rPr>
            </w:pPr>
            <w:r w:rsidRPr="00617008">
              <w:t>3, 4, 6</w:t>
            </w:r>
          </w:p>
        </w:tc>
      </w:tr>
      <w:tr w:rsidR="00941A91" w14:paraId="2CB78AE9"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20EE7" w14:textId="0E34AE3C" w:rsidR="00941A91" w:rsidRPr="00A02F1C" w:rsidRDefault="00941A91" w:rsidP="00941A91">
            <w:pPr>
              <w:rPr>
                <w:rFonts w:cs="Arial"/>
                <w:iCs/>
                <w:szCs w:val="28"/>
              </w:rPr>
            </w:pPr>
            <w:r w:rsidRPr="00617008">
              <w:lastRenderedPageBreak/>
              <w:t>Targeted small-group and individual interventions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2866A" w14:textId="160CEF85" w:rsidR="00941A91" w:rsidRDefault="00941A91" w:rsidP="00941A91">
            <w:pPr>
              <w:rPr>
                <w:sz w:val="22"/>
              </w:rPr>
            </w:pPr>
            <w:r w:rsidRPr="00617008">
              <w:t>Responsive support ensures gaps are addressed quickly, particularly for pupils with limited time at the school.</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B69D2" w14:textId="094D6BE1" w:rsidR="00941A91" w:rsidRDefault="00941A91" w:rsidP="00941A91">
            <w:pPr>
              <w:rPr>
                <w:sz w:val="22"/>
              </w:rPr>
            </w:pPr>
            <w:r w:rsidRPr="00617008">
              <w:t>4, 6</w:t>
            </w:r>
          </w:p>
        </w:tc>
      </w:tr>
      <w:tr w:rsidR="00941A91" w14:paraId="168B5F94"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A85ED" w14:textId="7A3050CE" w:rsidR="00941A91" w:rsidRPr="00A02F1C" w:rsidRDefault="00941A91" w:rsidP="00941A91">
            <w:pPr>
              <w:rPr>
                <w:rFonts w:cs="Arial"/>
                <w:iCs/>
                <w:szCs w:val="28"/>
              </w:rPr>
            </w:pPr>
            <w:r w:rsidRPr="00617008">
              <w:t>Whole-school standardised assessments (GL assessments)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08B1F" w14:textId="2A98E646" w:rsidR="00941A91" w:rsidRDefault="00941A91" w:rsidP="00941A91">
            <w:r w:rsidRPr="00617008">
              <w:t>Provides reliable data to identify gaps and inform provision in small cohorts.</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5FCAD" w14:textId="46C6D396" w:rsidR="00941A91" w:rsidRDefault="00941A91" w:rsidP="00941A91">
            <w:pPr>
              <w:rPr>
                <w:sz w:val="22"/>
              </w:rPr>
            </w:pPr>
            <w:r w:rsidRPr="00617008">
              <w:t>3, 4</w:t>
            </w:r>
          </w:p>
        </w:tc>
      </w:tr>
    </w:tbl>
    <w:p w14:paraId="2A7D5531" w14:textId="77777777" w:rsidR="00E66558" w:rsidRDefault="00E66558" w:rsidP="00941A91"/>
    <w:p w14:paraId="2A7D5532" w14:textId="59A68BC3" w:rsidR="00E66558" w:rsidRDefault="009D71E8" w:rsidP="00941A91">
      <w:r>
        <w:t>Wider strategies (for example, related to attendance, behaviour, wellbeing)</w:t>
      </w:r>
    </w:p>
    <w:p w14:paraId="2A7D5533" w14:textId="2E6C033B" w:rsidR="00E66558" w:rsidRDefault="00706BB5" w:rsidP="00941A91">
      <w:r>
        <w:t>Budget: £</w:t>
      </w:r>
      <w:r w:rsidRPr="00706BB5">
        <w:t xml:space="preserve"> 7,410</w:t>
      </w:r>
    </w:p>
    <w:tbl>
      <w:tblPr>
        <w:tblW w:w="5000" w:type="pct"/>
        <w:tblLayout w:type="fixed"/>
        <w:tblCellMar>
          <w:left w:w="10" w:type="dxa"/>
          <w:right w:w="10" w:type="dxa"/>
        </w:tblCellMar>
        <w:tblLook w:val="04A0" w:firstRow="1" w:lastRow="0" w:firstColumn="1" w:lastColumn="0" w:noHBand="0" w:noVBand="1"/>
      </w:tblPr>
      <w:tblGrid>
        <w:gridCol w:w="3397"/>
        <w:gridCol w:w="4395"/>
        <w:gridCol w:w="1694"/>
      </w:tblGrid>
      <w:tr w:rsidR="00E66558" w14:paraId="2A7D5537" w14:textId="77777777" w:rsidTr="00941A91">
        <w:tc>
          <w:tcPr>
            <w:tcW w:w="3397"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941A91">
            <w:r>
              <w:t>Activity</w:t>
            </w:r>
          </w:p>
        </w:tc>
        <w:tc>
          <w:tcPr>
            <w:tcW w:w="4395"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941A91">
            <w:r>
              <w:t>Evidence that supports this approach</w:t>
            </w:r>
          </w:p>
        </w:tc>
        <w:tc>
          <w:tcPr>
            <w:tcW w:w="1694" w:type="dxa"/>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941A91">
            <w:r>
              <w:t>Challenge number(s) addressed</w:t>
            </w:r>
          </w:p>
        </w:tc>
      </w:tr>
      <w:tr w:rsidR="00941A91" w14:paraId="2A7D553B"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8" w14:textId="7CBF6FDA" w:rsidR="00941A91" w:rsidRDefault="00941A91" w:rsidP="00941A91">
            <w:r w:rsidRPr="00617008">
              <w:t>ELSA and pastoral TA support</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9" w14:textId="5732F555" w:rsidR="00941A91" w:rsidRDefault="00941A91" w:rsidP="00941A91">
            <w:pPr>
              <w:rPr>
                <w:sz w:val="22"/>
              </w:rPr>
            </w:pPr>
            <w:r w:rsidRPr="00617008">
              <w:t>Targeted emotional support improves wellbeing and engagement.</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A" w14:textId="58FA9086" w:rsidR="00941A91" w:rsidRDefault="00941A91" w:rsidP="00941A91">
            <w:pPr>
              <w:rPr>
                <w:sz w:val="22"/>
              </w:rPr>
            </w:pPr>
            <w:r w:rsidRPr="00617008">
              <w:t>2, 6</w:t>
            </w:r>
          </w:p>
        </w:tc>
      </w:tr>
      <w:tr w:rsidR="00941A91" w14:paraId="2A7D553F"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C" w14:textId="1F874BEF" w:rsidR="00941A91" w:rsidRDefault="00941A91" w:rsidP="00941A91">
            <w:pPr>
              <w:rPr>
                <w:i/>
                <w:sz w:val="22"/>
              </w:rPr>
            </w:pPr>
            <w:r w:rsidRPr="00617008">
              <w:t>External agency engagement</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D" w14:textId="2478CED7" w:rsidR="00941A91" w:rsidRDefault="00941A91" w:rsidP="00941A91">
            <w:pPr>
              <w:rPr>
                <w:sz w:val="22"/>
              </w:rPr>
            </w:pPr>
            <w:r w:rsidRPr="00617008">
              <w:t>Timely involvement of specialist services supports pupils with complex needs.</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3E" w14:textId="49A3DEBA" w:rsidR="00941A91" w:rsidRDefault="00941A91" w:rsidP="00941A91">
            <w:pPr>
              <w:rPr>
                <w:sz w:val="22"/>
              </w:rPr>
            </w:pPr>
            <w:r w:rsidRPr="00617008">
              <w:t>2, 6</w:t>
            </w:r>
          </w:p>
        </w:tc>
      </w:tr>
      <w:tr w:rsidR="00941A91" w14:paraId="6F234CD5"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AA81F5" w14:textId="2EA4707F" w:rsidR="00941A91" w:rsidRDefault="00941A91" w:rsidP="00941A91">
            <w:pPr>
              <w:rPr>
                <w:i/>
                <w:sz w:val="22"/>
              </w:rPr>
            </w:pPr>
            <w:r w:rsidRPr="00617008">
              <w:t>Community and family engagement</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85C75" w14:textId="757C7354" w:rsidR="00941A91" w:rsidRDefault="00941A91" w:rsidP="00941A91">
            <w:r w:rsidRPr="00617008">
              <w:t>Strengthening links with families and the Army community supports stability and belonging.</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FE726" w14:textId="42614A63" w:rsidR="00941A91" w:rsidRDefault="00941A91" w:rsidP="00941A91">
            <w:pPr>
              <w:rPr>
                <w:sz w:val="22"/>
              </w:rPr>
            </w:pPr>
            <w:r w:rsidRPr="00617008">
              <w:t>1, 5</w:t>
            </w:r>
          </w:p>
        </w:tc>
      </w:tr>
      <w:tr w:rsidR="00941A91" w14:paraId="0CCAE8DA" w14:textId="77777777" w:rsidTr="00941A91">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F1E81" w14:textId="296F8EF5" w:rsidR="00941A91" w:rsidRDefault="00941A91" w:rsidP="00941A91">
            <w:pPr>
              <w:rPr>
                <w:i/>
                <w:sz w:val="22"/>
              </w:rPr>
            </w:pPr>
            <w:r w:rsidRPr="00617008">
              <w:t>Subsidised enrichment and Forest School</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221F8" w14:textId="37CC226C" w:rsidR="00941A91" w:rsidRDefault="00941A91" w:rsidP="00941A91">
            <w:r w:rsidRPr="00617008">
              <w:t>Enrichment supports confidence, self-esteem and engagement.</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DD82C" w14:textId="2D5165C6" w:rsidR="00941A91" w:rsidRDefault="00941A91" w:rsidP="00941A91">
            <w:pPr>
              <w:rPr>
                <w:sz w:val="22"/>
              </w:rPr>
            </w:pPr>
            <w:r w:rsidRPr="00617008">
              <w:t>2, 4</w:t>
            </w:r>
          </w:p>
        </w:tc>
      </w:tr>
    </w:tbl>
    <w:p w14:paraId="2A7D5540" w14:textId="77777777" w:rsidR="00E66558" w:rsidRDefault="00E66558" w:rsidP="00941A91">
      <w:pPr>
        <w:rPr>
          <w:b/>
          <w:bCs/>
          <w:color w:val="104F75"/>
          <w:sz w:val="28"/>
          <w:szCs w:val="28"/>
        </w:rPr>
      </w:pPr>
    </w:p>
    <w:p w14:paraId="2A7D5541" w14:textId="2439CBCF" w:rsidR="00E66558" w:rsidRDefault="009D71E8" w:rsidP="00941A91">
      <w:r>
        <w:rPr>
          <w:b/>
          <w:bCs/>
          <w:color w:val="104F75"/>
          <w:sz w:val="28"/>
          <w:szCs w:val="28"/>
        </w:rPr>
        <w:t xml:space="preserve">Total budgeted cost: </w:t>
      </w:r>
      <w:r w:rsidR="00706BB5" w:rsidRPr="00706BB5">
        <w:rPr>
          <w:b/>
          <w:bCs/>
          <w:color w:val="104F75"/>
          <w:sz w:val="28"/>
          <w:szCs w:val="28"/>
        </w:rPr>
        <w:t>£25,710</w:t>
      </w:r>
    </w:p>
    <w:p w14:paraId="3777F87B" w14:textId="77777777" w:rsidR="00941A91" w:rsidRDefault="00941A91" w:rsidP="00941A91"/>
    <w:p w14:paraId="3FC899C0" w14:textId="77777777" w:rsidR="00941A91" w:rsidRDefault="00941A91" w:rsidP="00941A91"/>
    <w:p w14:paraId="7BE6CFCD" w14:textId="77777777" w:rsidR="00941A91" w:rsidRDefault="00941A91" w:rsidP="00941A91"/>
    <w:p w14:paraId="13F4852C" w14:textId="77777777" w:rsidR="00941A91" w:rsidRDefault="00941A91" w:rsidP="00941A91"/>
    <w:p w14:paraId="3AAC89D3" w14:textId="77777777" w:rsidR="00941A91" w:rsidRDefault="00941A91" w:rsidP="00941A91"/>
    <w:p w14:paraId="3C2A0E2A" w14:textId="77777777" w:rsidR="00941A91" w:rsidRDefault="00941A91" w:rsidP="00941A91"/>
    <w:p w14:paraId="2A7D5542" w14:textId="0830333B" w:rsidR="00E66558" w:rsidRDefault="009D71E8" w:rsidP="00941A91">
      <w:pPr>
        <w:pStyle w:val="Heading2"/>
      </w:pPr>
      <w:r w:rsidRPr="00064366">
        <w:lastRenderedPageBreak/>
        <w:t>Part B: Review of the previous academic year</w:t>
      </w:r>
    </w:p>
    <w:p w14:paraId="751285B7" w14:textId="72ACB452" w:rsidR="008B6404" w:rsidRDefault="00064366" w:rsidP="00941A91">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A2529" w14:textId="77777777" w:rsidR="00941A91" w:rsidRPr="00617008" w:rsidRDefault="00941A91" w:rsidP="00941A91">
            <w:pPr>
              <w:rPr>
                <w:b/>
                <w:bCs/>
              </w:rPr>
            </w:pPr>
            <w:r w:rsidRPr="00617008">
              <w:rPr>
                <w:b/>
                <w:bCs/>
              </w:rPr>
              <w:t>Summary of impact (2024–25)</w:t>
            </w:r>
          </w:p>
          <w:p w14:paraId="3C106F22" w14:textId="77777777" w:rsidR="00941A91" w:rsidRPr="00617008" w:rsidRDefault="00941A91" w:rsidP="00941A91">
            <w:pPr>
              <w:numPr>
                <w:ilvl w:val="0"/>
                <w:numId w:val="19"/>
              </w:numPr>
              <w:suppressAutoHyphens w:val="0"/>
              <w:autoSpaceDN/>
              <w:spacing w:after="160" w:line="278" w:lineRule="auto"/>
            </w:pPr>
            <w:r w:rsidRPr="00617008">
              <w:t>Registers for pupil premium and service pupil premium are now accurate and reviewed regularly.</w:t>
            </w:r>
          </w:p>
          <w:p w14:paraId="5D845200" w14:textId="77777777" w:rsidR="00941A91" w:rsidRPr="00617008" w:rsidRDefault="00941A91" w:rsidP="00941A91">
            <w:pPr>
              <w:numPr>
                <w:ilvl w:val="0"/>
                <w:numId w:val="19"/>
              </w:numPr>
              <w:suppressAutoHyphens w:val="0"/>
              <w:autoSpaceDN/>
              <w:spacing w:after="160" w:line="278" w:lineRule="auto"/>
            </w:pPr>
            <w:r w:rsidRPr="00617008">
              <w:t>A therapeutic and relational behaviour approach has been introduced and is becoming embedded, with reductions in incidents of dysregulated behaviour.</w:t>
            </w:r>
          </w:p>
          <w:p w14:paraId="384AC45C" w14:textId="77777777" w:rsidR="00941A91" w:rsidRPr="00617008" w:rsidRDefault="00941A91" w:rsidP="00941A91">
            <w:pPr>
              <w:numPr>
                <w:ilvl w:val="0"/>
                <w:numId w:val="19"/>
              </w:numPr>
              <w:suppressAutoHyphens w:val="0"/>
              <w:autoSpaceDN/>
              <w:spacing w:after="160" w:line="278" w:lineRule="auto"/>
            </w:pPr>
            <w:r w:rsidRPr="00617008">
              <w:t>Standardised assessment is now used consistently to inform provision mapping and intervention planning.</w:t>
            </w:r>
          </w:p>
          <w:p w14:paraId="275BC8A7" w14:textId="77777777" w:rsidR="00941A91" w:rsidRPr="00617008" w:rsidRDefault="00941A91" w:rsidP="00941A91">
            <w:pPr>
              <w:numPr>
                <w:ilvl w:val="0"/>
                <w:numId w:val="19"/>
              </w:numPr>
              <w:suppressAutoHyphens w:val="0"/>
              <w:autoSpaceDN/>
              <w:spacing w:after="160" w:line="278" w:lineRule="auto"/>
            </w:pPr>
            <w:r w:rsidRPr="00617008">
              <w:t>Pastoral and external agency support has been strengthened, particularly for pupils experiencing transition or emotional need.</w:t>
            </w:r>
          </w:p>
          <w:p w14:paraId="072D703C" w14:textId="77777777" w:rsidR="00941A91" w:rsidRPr="00617008" w:rsidRDefault="00941A91" w:rsidP="00941A91">
            <w:r w:rsidRPr="00617008">
              <w:t>Areas identified for further development include:</w:t>
            </w:r>
          </w:p>
          <w:p w14:paraId="75375ECC" w14:textId="77777777" w:rsidR="00941A91" w:rsidRPr="00617008" w:rsidRDefault="00941A91" w:rsidP="00941A91">
            <w:pPr>
              <w:numPr>
                <w:ilvl w:val="0"/>
                <w:numId w:val="20"/>
              </w:numPr>
              <w:suppressAutoHyphens w:val="0"/>
              <w:autoSpaceDN/>
              <w:spacing w:after="160" w:line="278" w:lineRule="auto"/>
            </w:pPr>
            <w:r w:rsidRPr="00617008">
              <w:t>embedding consistency in teaching and learning across all classes</w:t>
            </w:r>
          </w:p>
          <w:p w14:paraId="683CB05E" w14:textId="77777777" w:rsidR="00941A91" w:rsidRPr="00617008" w:rsidRDefault="00941A91" w:rsidP="00941A91">
            <w:pPr>
              <w:numPr>
                <w:ilvl w:val="0"/>
                <w:numId w:val="20"/>
              </w:numPr>
              <w:suppressAutoHyphens w:val="0"/>
              <w:autoSpaceDN/>
              <w:spacing w:after="160" w:line="278" w:lineRule="auto"/>
            </w:pPr>
            <w:r w:rsidRPr="00617008">
              <w:t>continuing to strengthen family engagement</w:t>
            </w:r>
          </w:p>
          <w:p w14:paraId="5023926C" w14:textId="7BAE8D89" w:rsidR="0064167B" w:rsidRPr="00941A91" w:rsidRDefault="00941A91" w:rsidP="00941A91">
            <w:pPr>
              <w:numPr>
                <w:ilvl w:val="0"/>
                <w:numId w:val="20"/>
              </w:numPr>
              <w:suppressAutoHyphens w:val="0"/>
              <w:autoSpaceDN/>
              <w:spacing w:after="160" w:line="278" w:lineRule="auto"/>
            </w:pPr>
            <w:r w:rsidRPr="00617008">
              <w:t>refining intervention planning as baseline data becomes more secure</w:t>
            </w:r>
          </w:p>
        </w:tc>
      </w:tr>
    </w:tbl>
    <w:p w14:paraId="2A7D5548" w14:textId="0199D85C" w:rsidR="00E66558" w:rsidRDefault="006D6372" w:rsidP="00941A91">
      <w:pPr>
        <w:pStyle w:val="Heading2"/>
      </w:pPr>
      <w:r>
        <w:t>E</w:t>
      </w:r>
      <w:r w:rsidR="009D71E8">
        <w:t xml:space="preserve">xternally provided </w:t>
      </w:r>
      <w:r w:rsidR="009D71E8" w:rsidRPr="00781713">
        <w:t>programmes</w:t>
      </w:r>
    </w:p>
    <w:p w14:paraId="2A7D5549" w14:textId="1DAEF3DE" w:rsidR="00E66558" w:rsidRDefault="0B240EAF" w:rsidP="00941A91">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941A91">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941A91">
            <w:r>
              <w:t>Provider</w:t>
            </w:r>
          </w:p>
        </w:tc>
      </w:tr>
      <w:tr w:rsidR="00941A91" w14:paraId="2A7D554F" w14:textId="77777777" w:rsidTr="00E62072">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4D" w14:textId="6BED337E" w:rsidR="00941A91" w:rsidRDefault="00941A91" w:rsidP="00941A91">
            <w:r w:rsidRPr="00617008">
              <w:t>Positive Regard / Therapeutic Thinking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4E" w14:textId="05DD64C9" w:rsidR="00941A91" w:rsidRDefault="00941A91" w:rsidP="00941A91">
            <w:r w:rsidRPr="00617008">
              <w:t>Inclusion / Local Authority partners</w:t>
            </w:r>
          </w:p>
        </w:tc>
      </w:tr>
      <w:tr w:rsidR="00941A91"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941A91" w:rsidRDefault="00941A91" w:rsidP="00941A91"/>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941A91" w:rsidRDefault="00941A91" w:rsidP="00941A91"/>
        </w:tc>
      </w:tr>
    </w:tbl>
    <w:p w14:paraId="2A7D5553" w14:textId="193B71B2" w:rsidR="00E66558" w:rsidRDefault="00E66558" w:rsidP="00941A91"/>
    <w:p w14:paraId="188578FB" w14:textId="537EFB51" w:rsidR="0008384B" w:rsidRDefault="0008384B" w:rsidP="00941A91"/>
    <w:p w14:paraId="02FCD1F2" w14:textId="77777777" w:rsidR="00941A91" w:rsidRDefault="00941A91" w:rsidP="00941A91"/>
    <w:p w14:paraId="497C2CDD" w14:textId="3BD1FD57" w:rsidR="0008384B" w:rsidRDefault="0008384B" w:rsidP="00941A91"/>
    <w:p w14:paraId="540A892B" w14:textId="3B30AD65" w:rsidR="0008384B" w:rsidRPr="0008384B" w:rsidRDefault="0008384B" w:rsidP="00941A91">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941A91">
            <w:pPr>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791A2983" w14:textId="2C0ADEF2" w:rsidR="00941A91" w:rsidRPr="00941A91" w:rsidRDefault="00941A91" w:rsidP="00941A91">
            <w:pPr>
              <w:rPr>
                <w:rFonts w:cs="Arial"/>
                <w:color w:val="0B0C0C"/>
                <w:sz w:val="22"/>
                <w:szCs w:val="22"/>
              </w:rPr>
            </w:pPr>
            <w:r w:rsidRPr="00941A91">
              <w:rPr>
                <w:rFonts w:cs="Arial"/>
                <w:color w:val="0B0C0C"/>
                <w:sz w:val="22"/>
                <w:szCs w:val="22"/>
              </w:rPr>
              <w:t>Service pupil premium funding is used to support pupils from military families who may experience higher levels of mobility, transition and emotional disruption.</w:t>
            </w:r>
          </w:p>
          <w:p w14:paraId="7BB776FB" w14:textId="77777777" w:rsidR="00941A91" w:rsidRPr="00941A91" w:rsidRDefault="00941A91" w:rsidP="00941A91">
            <w:pPr>
              <w:rPr>
                <w:rFonts w:cs="Arial"/>
                <w:color w:val="0B0C0C"/>
                <w:sz w:val="22"/>
                <w:szCs w:val="22"/>
              </w:rPr>
            </w:pPr>
            <w:r w:rsidRPr="00941A91">
              <w:rPr>
                <w:rFonts w:cs="Arial"/>
                <w:color w:val="0B0C0C"/>
                <w:sz w:val="22"/>
                <w:szCs w:val="22"/>
              </w:rPr>
              <w:t>Funding is used to:</w:t>
            </w:r>
          </w:p>
          <w:p w14:paraId="485C66B5" w14:textId="77777777" w:rsidR="00941A91" w:rsidRPr="00941A91" w:rsidRDefault="00941A91" w:rsidP="00941A91">
            <w:pPr>
              <w:numPr>
                <w:ilvl w:val="0"/>
                <w:numId w:val="21"/>
              </w:numPr>
              <w:rPr>
                <w:rFonts w:cs="Arial"/>
                <w:color w:val="0B0C0C"/>
                <w:sz w:val="22"/>
                <w:szCs w:val="22"/>
              </w:rPr>
            </w:pPr>
            <w:r w:rsidRPr="00941A91">
              <w:rPr>
                <w:rFonts w:cs="Arial"/>
                <w:color w:val="0B0C0C"/>
                <w:sz w:val="22"/>
                <w:szCs w:val="22"/>
              </w:rPr>
              <w:t>provide enhanced pastoral support through trained teaching assistants</w:t>
            </w:r>
          </w:p>
          <w:p w14:paraId="1BDCFA68" w14:textId="77777777" w:rsidR="00941A91" w:rsidRPr="00941A91" w:rsidRDefault="00941A91" w:rsidP="00941A91">
            <w:pPr>
              <w:numPr>
                <w:ilvl w:val="0"/>
                <w:numId w:val="21"/>
              </w:numPr>
              <w:rPr>
                <w:rFonts w:cs="Arial"/>
                <w:color w:val="0B0C0C"/>
                <w:sz w:val="22"/>
                <w:szCs w:val="22"/>
              </w:rPr>
            </w:pPr>
            <w:r w:rsidRPr="00941A91">
              <w:rPr>
                <w:rFonts w:cs="Arial"/>
                <w:color w:val="0B0C0C"/>
                <w:sz w:val="22"/>
                <w:szCs w:val="22"/>
              </w:rPr>
              <w:t>support rapid assessment and intervention for pupils joining mid-year</w:t>
            </w:r>
          </w:p>
          <w:p w14:paraId="077F3AA8" w14:textId="77777777" w:rsidR="00941A91" w:rsidRPr="00941A91" w:rsidRDefault="00941A91" w:rsidP="00941A91">
            <w:pPr>
              <w:numPr>
                <w:ilvl w:val="0"/>
                <w:numId w:val="21"/>
              </w:numPr>
              <w:rPr>
                <w:rFonts w:cs="Arial"/>
                <w:color w:val="0B0C0C"/>
                <w:sz w:val="22"/>
                <w:szCs w:val="22"/>
              </w:rPr>
            </w:pPr>
            <w:r w:rsidRPr="00941A91">
              <w:rPr>
                <w:rFonts w:cs="Arial"/>
                <w:color w:val="0B0C0C"/>
                <w:sz w:val="22"/>
                <w:szCs w:val="22"/>
              </w:rPr>
              <w:t>facilitate Forest School and enrichment opportunities that build confidence and belonging</w:t>
            </w:r>
          </w:p>
          <w:p w14:paraId="36F9EE76" w14:textId="77777777" w:rsidR="00941A91" w:rsidRPr="00941A91" w:rsidRDefault="00941A91" w:rsidP="00941A91">
            <w:pPr>
              <w:numPr>
                <w:ilvl w:val="0"/>
                <w:numId w:val="21"/>
              </w:numPr>
              <w:rPr>
                <w:rFonts w:cs="Arial"/>
                <w:color w:val="0B0C0C"/>
                <w:sz w:val="22"/>
                <w:szCs w:val="22"/>
              </w:rPr>
            </w:pPr>
            <w:r w:rsidRPr="00941A91">
              <w:rPr>
                <w:rFonts w:cs="Arial"/>
                <w:color w:val="0B0C0C"/>
                <w:sz w:val="22"/>
                <w:szCs w:val="22"/>
              </w:rPr>
              <w:t>strengthen links with the local Army Barracks and Welfare Services</w:t>
            </w:r>
          </w:p>
          <w:p w14:paraId="5AA67344" w14:textId="7AABB5AA" w:rsidR="007C2CDD" w:rsidRPr="007C2CDD" w:rsidRDefault="00941A91" w:rsidP="00941A91">
            <w:pPr>
              <w:rPr>
                <w:rFonts w:cs="Arial"/>
                <w:color w:val="0B0C0C"/>
                <w:sz w:val="22"/>
                <w:szCs w:val="22"/>
              </w:rPr>
            </w:pPr>
            <w:r w:rsidRPr="00941A91">
              <w:rPr>
                <w:rFonts w:cs="Arial"/>
                <w:color w:val="0B0C0C"/>
                <w:sz w:val="22"/>
                <w:szCs w:val="22"/>
              </w:rPr>
              <w:t>Impact is monitored through pupil progress meetings, wellbeing monitoring and pastoral records to ensure service pupils make appropriate progress and feel settled and supported.</w:t>
            </w:r>
          </w:p>
        </w:tc>
      </w:tr>
      <w:tr w:rsidR="00ED5108" w14:paraId="2D016C33" w14:textId="77777777" w:rsidTr="00CA4421">
        <w:tc>
          <w:tcPr>
            <w:tcW w:w="9486" w:type="dxa"/>
            <w:shd w:val="clear" w:color="auto" w:fill="CFDCE3"/>
          </w:tcPr>
          <w:p w14:paraId="3A5A15C1" w14:textId="789D6271" w:rsidR="00ED5108" w:rsidRPr="00E86F05" w:rsidRDefault="00ED5108" w:rsidP="00941A91">
            <w:pPr>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FC5DC32" w:rsidR="00ED5108" w:rsidRDefault="00D12829" w:rsidP="00941A91">
            <w:r>
              <w:t xml:space="preserve">As the school has recently academized, </w:t>
            </w:r>
            <w:r w:rsidR="00804095">
              <w:t xml:space="preserve">our priority continues to be around building links with our armed forces community and championing our pupils whose parents/carers are </w:t>
            </w:r>
            <w:r w:rsidR="00F560B1">
              <w:t xml:space="preserve">or have been linked to the </w:t>
            </w:r>
            <w:r w:rsidR="00B86013">
              <w:t>armed forces</w:t>
            </w:r>
            <w:r w:rsidR="00205E6C">
              <w:t xml:space="preserve">. School have engaged with coffee mornings and community meetings at Carver Barracks, </w:t>
            </w:r>
            <w:r w:rsidR="00B974DE">
              <w:t xml:space="preserve">the summer family activity day and have built links with key </w:t>
            </w:r>
            <w:r w:rsidR="00E86A42">
              <w:t xml:space="preserve">contact personnel at the base. </w:t>
            </w:r>
            <w:r w:rsidR="005123A9">
              <w:t xml:space="preserve">Children have received enriching opportunities and </w:t>
            </w:r>
            <w:r w:rsidR="00A012C5">
              <w:t xml:space="preserve">where needed, pastoral support has been provided through individualised support and engagement with external </w:t>
            </w:r>
            <w:r w:rsidR="00D14168">
              <w:t xml:space="preserve">agencies. </w:t>
            </w:r>
          </w:p>
        </w:tc>
      </w:tr>
    </w:tbl>
    <w:p w14:paraId="2A7D555F" w14:textId="77777777" w:rsidR="00E66558" w:rsidRDefault="00E66558" w:rsidP="00941A91"/>
    <w:p w14:paraId="2A7D5560" w14:textId="77777777" w:rsidR="00E66558" w:rsidRDefault="009D71E8" w:rsidP="00941A91">
      <w:pPr>
        <w:pStyle w:val="Heading2"/>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92AC079" w:rsidR="00E66558" w:rsidRPr="00AA355B" w:rsidRDefault="009D71E8" w:rsidP="00941A91">
            <w:pPr>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rsidP="00941A91"/>
    <w:sectPr w:rsidR="00E66558">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04BC" w14:textId="77777777" w:rsidR="006170F8" w:rsidRDefault="006170F8">
      <w:pPr>
        <w:spacing w:after="0" w:line="240" w:lineRule="auto"/>
      </w:pPr>
      <w:r>
        <w:separator/>
      </w:r>
    </w:p>
  </w:endnote>
  <w:endnote w:type="continuationSeparator" w:id="0">
    <w:p w14:paraId="000084B9" w14:textId="77777777" w:rsidR="006170F8" w:rsidRDefault="006170F8">
      <w:pPr>
        <w:spacing w:after="0" w:line="240" w:lineRule="auto"/>
      </w:pPr>
      <w:r>
        <w:continuationSeparator/>
      </w:r>
    </w:p>
  </w:endnote>
  <w:endnote w:type="continuationNotice" w:id="1">
    <w:p w14:paraId="53A36ED0" w14:textId="77777777" w:rsidR="006170F8" w:rsidRDefault="0061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651A" w14:textId="77777777" w:rsidR="006170F8" w:rsidRDefault="006170F8">
      <w:pPr>
        <w:spacing w:after="0" w:line="240" w:lineRule="auto"/>
      </w:pPr>
      <w:r>
        <w:separator/>
      </w:r>
    </w:p>
  </w:footnote>
  <w:footnote w:type="continuationSeparator" w:id="0">
    <w:p w14:paraId="4D4BC61B" w14:textId="77777777" w:rsidR="006170F8" w:rsidRDefault="006170F8">
      <w:pPr>
        <w:spacing w:after="0" w:line="240" w:lineRule="auto"/>
      </w:pPr>
      <w:r>
        <w:continuationSeparator/>
      </w:r>
    </w:p>
  </w:footnote>
  <w:footnote w:type="continuationNotice" w:id="1">
    <w:p w14:paraId="510135CD" w14:textId="77777777" w:rsidR="006170F8" w:rsidRDefault="006170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B2F"/>
    <w:multiLevelType w:val="hybridMultilevel"/>
    <w:tmpl w:val="32961EB6"/>
    <w:lvl w:ilvl="0" w:tplc="E5CAF622">
      <w:start w:val="202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E50C8"/>
    <w:multiLevelType w:val="multilevel"/>
    <w:tmpl w:val="789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238AE"/>
    <w:multiLevelType w:val="multilevel"/>
    <w:tmpl w:val="6FF4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EB55DA9"/>
    <w:multiLevelType w:val="hybridMultilevel"/>
    <w:tmpl w:val="DB6A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70993"/>
    <w:multiLevelType w:val="hybridMultilevel"/>
    <w:tmpl w:val="F640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B95C79"/>
    <w:multiLevelType w:val="multilevel"/>
    <w:tmpl w:val="D2B6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C7C80"/>
    <w:multiLevelType w:val="multilevel"/>
    <w:tmpl w:val="012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8"/>
  </w:num>
  <w:num w:numId="5" w16cid:durableId="857932188">
    <w:abstractNumId w:val="2"/>
  </w:num>
  <w:num w:numId="6" w16cid:durableId="798501009">
    <w:abstractNumId w:val="10"/>
  </w:num>
  <w:num w:numId="7" w16cid:durableId="1210847263">
    <w:abstractNumId w:val="16"/>
  </w:num>
  <w:num w:numId="8" w16cid:durableId="982348153">
    <w:abstractNumId w:val="20"/>
  </w:num>
  <w:num w:numId="9" w16cid:durableId="1529290868">
    <w:abstractNumId w:val="18"/>
  </w:num>
  <w:num w:numId="10" w16cid:durableId="1171066271">
    <w:abstractNumId w:val="17"/>
  </w:num>
  <w:num w:numId="11" w16cid:durableId="1453552857">
    <w:abstractNumId w:val="5"/>
  </w:num>
  <w:num w:numId="12" w16cid:durableId="1812097430">
    <w:abstractNumId w:val="19"/>
  </w:num>
  <w:num w:numId="13" w16cid:durableId="42288650">
    <w:abstractNumId w:val="13"/>
  </w:num>
  <w:num w:numId="14" w16cid:durableId="1721712531">
    <w:abstractNumId w:val="11"/>
  </w:num>
  <w:num w:numId="15" w16cid:durableId="2059894228">
    <w:abstractNumId w:val="0"/>
  </w:num>
  <w:num w:numId="16" w16cid:durableId="714163373">
    <w:abstractNumId w:val="14"/>
  </w:num>
  <w:num w:numId="17" w16cid:durableId="46153436">
    <w:abstractNumId w:val="9"/>
  </w:num>
  <w:num w:numId="18" w16cid:durableId="463473385">
    <w:abstractNumId w:val="12"/>
  </w:num>
  <w:num w:numId="19" w16cid:durableId="947272898">
    <w:abstractNumId w:val="15"/>
  </w:num>
  <w:num w:numId="20" w16cid:durableId="551307980">
    <w:abstractNumId w:val="1"/>
  </w:num>
  <w:num w:numId="21" w16cid:durableId="110947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5FC"/>
    <w:rsid w:val="00036678"/>
    <w:rsid w:val="000452EB"/>
    <w:rsid w:val="00045603"/>
    <w:rsid w:val="000463AE"/>
    <w:rsid w:val="000507A3"/>
    <w:rsid w:val="00060A62"/>
    <w:rsid w:val="00064366"/>
    <w:rsid w:val="00066B73"/>
    <w:rsid w:val="00067003"/>
    <w:rsid w:val="00071481"/>
    <w:rsid w:val="00073237"/>
    <w:rsid w:val="00075FAE"/>
    <w:rsid w:val="0007791C"/>
    <w:rsid w:val="00082F38"/>
    <w:rsid w:val="000837DB"/>
    <w:rsid w:val="0008384B"/>
    <w:rsid w:val="00091AC4"/>
    <w:rsid w:val="000929EC"/>
    <w:rsid w:val="00093CDE"/>
    <w:rsid w:val="000A5C58"/>
    <w:rsid w:val="000A6379"/>
    <w:rsid w:val="000B0D49"/>
    <w:rsid w:val="000B152E"/>
    <w:rsid w:val="000B203E"/>
    <w:rsid w:val="000B71C1"/>
    <w:rsid w:val="000B7235"/>
    <w:rsid w:val="000D22B0"/>
    <w:rsid w:val="000D35C9"/>
    <w:rsid w:val="000D520C"/>
    <w:rsid w:val="000D6596"/>
    <w:rsid w:val="000D6779"/>
    <w:rsid w:val="000E03EB"/>
    <w:rsid w:val="000E5FEB"/>
    <w:rsid w:val="000E6DF0"/>
    <w:rsid w:val="000F626D"/>
    <w:rsid w:val="001037CB"/>
    <w:rsid w:val="0010629E"/>
    <w:rsid w:val="00114288"/>
    <w:rsid w:val="00115538"/>
    <w:rsid w:val="00116FA8"/>
    <w:rsid w:val="00120AB1"/>
    <w:rsid w:val="00123A7F"/>
    <w:rsid w:val="001278D0"/>
    <w:rsid w:val="00127F72"/>
    <w:rsid w:val="00140646"/>
    <w:rsid w:val="00144A24"/>
    <w:rsid w:val="00147A4B"/>
    <w:rsid w:val="00151D68"/>
    <w:rsid w:val="00152554"/>
    <w:rsid w:val="00155944"/>
    <w:rsid w:val="001559D7"/>
    <w:rsid w:val="0016523C"/>
    <w:rsid w:val="00165FCD"/>
    <w:rsid w:val="001671ED"/>
    <w:rsid w:val="00167FC4"/>
    <w:rsid w:val="00170714"/>
    <w:rsid w:val="00170E5C"/>
    <w:rsid w:val="0017264D"/>
    <w:rsid w:val="001727FA"/>
    <w:rsid w:val="00172B0F"/>
    <w:rsid w:val="00173D4C"/>
    <w:rsid w:val="00174534"/>
    <w:rsid w:val="001759B6"/>
    <w:rsid w:val="00175CBD"/>
    <w:rsid w:val="001761E3"/>
    <w:rsid w:val="00181A7E"/>
    <w:rsid w:val="00182FD8"/>
    <w:rsid w:val="00183218"/>
    <w:rsid w:val="001832F8"/>
    <w:rsid w:val="00184079"/>
    <w:rsid w:val="0018428C"/>
    <w:rsid w:val="00185988"/>
    <w:rsid w:val="00186666"/>
    <w:rsid w:val="001873B6"/>
    <w:rsid w:val="001901E6"/>
    <w:rsid w:val="00191305"/>
    <w:rsid w:val="001948FB"/>
    <w:rsid w:val="001949F4"/>
    <w:rsid w:val="00195B55"/>
    <w:rsid w:val="001A2FE8"/>
    <w:rsid w:val="001A33AC"/>
    <w:rsid w:val="001B1E94"/>
    <w:rsid w:val="001C047B"/>
    <w:rsid w:val="001C1C51"/>
    <w:rsid w:val="001D4FC9"/>
    <w:rsid w:val="001E0ECA"/>
    <w:rsid w:val="001E206F"/>
    <w:rsid w:val="001E5750"/>
    <w:rsid w:val="001E66BA"/>
    <w:rsid w:val="001E7739"/>
    <w:rsid w:val="001F3DB4"/>
    <w:rsid w:val="001F7564"/>
    <w:rsid w:val="00203DB9"/>
    <w:rsid w:val="00204F40"/>
    <w:rsid w:val="00205DEF"/>
    <w:rsid w:val="00205E6C"/>
    <w:rsid w:val="002112C3"/>
    <w:rsid w:val="002131E5"/>
    <w:rsid w:val="00215525"/>
    <w:rsid w:val="00216C8A"/>
    <w:rsid w:val="00226317"/>
    <w:rsid w:val="00231539"/>
    <w:rsid w:val="002361EE"/>
    <w:rsid w:val="00242093"/>
    <w:rsid w:val="00243F22"/>
    <w:rsid w:val="002506C1"/>
    <w:rsid w:val="002523E3"/>
    <w:rsid w:val="00252AD6"/>
    <w:rsid w:val="002542CE"/>
    <w:rsid w:val="00257A4E"/>
    <w:rsid w:val="002638EF"/>
    <w:rsid w:val="00266FA5"/>
    <w:rsid w:val="00271D8F"/>
    <w:rsid w:val="00276FBA"/>
    <w:rsid w:val="00277665"/>
    <w:rsid w:val="00282E4A"/>
    <w:rsid w:val="002837AE"/>
    <w:rsid w:val="00290B81"/>
    <w:rsid w:val="002920F4"/>
    <w:rsid w:val="002940F3"/>
    <w:rsid w:val="00295842"/>
    <w:rsid w:val="002A1AE1"/>
    <w:rsid w:val="002B3574"/>
    <w:rsid w:val="002B6B74"/>
    <w:rsid w:val="002C6AE7"/>
    <w:rsid w:val="002D2D4B"/>
    <w:rsid w:val="002D3805"/>
    <w:rsid w:val="002D3F91"/>
    <w:rsid w:val="002E57A4"/>
    <w:rsid w:val="002E66AE"/>
    <w:rsid w:val="002E7763"/>
    <w:rsid w:val="002E7770"/>
    <w:rsid w:val="002F4C6F"/>
    <w:rsid w:val="002F5011"/>
    <w:rsid w:val="002F5842"/>
    <w:rsid w:val="002F7847"/>
    <w:rsid w:val="00305F5E"/>
    <w:rsid w:val="00306CB7"/>
    <w:rsid w:val="003111F5"/>
    <w:rsid w:val="00317664"/>
    <w:rsid w:val="00320DF6"/>
    <w:rsid w:val="00336200"/>
    <w:rsid w:val="00337418"/>
    <w:rsid w:val="0034288C"/>
    <w:rsid w:val="00351D83"/>
    <w:rsid w:val="00352197"/>
    <w:rsid w:val="00353E46"/>
    <w:rsid w:val="0035530C"/>
    <w:rsid w:val="00357139"/>
    <w:rsid w:val="003576C4"/>
    <w:rsid w:val="0036277A"/>
    <w:rsid w:val="00366AB0"/>
    <w:rsid w:val="00367FEB"/>
    <w:rsid w:val="003700E8"/>
    <w:rsid w:val="0037437C"/>
    <w:rsid w:val="00381279"/>
    <w:rsid w:val="0038146B"/>
    <w:rsid w:val="0038340F"/>
    <w:rsid w:val="00384457"/>
    <w:rsid w:val="00384F24"/>
    <w:rsid w:val="00390FBF"/>
    <w:rsid w:val="003A32B2"/>
    <w:rsid w:val="003A4266"/>
    <w:rsid w:val="003A47DD"/>
    <w:rsid w:val="003A5F67"/>
    <w:rsid w:val="003A634F"/>
    <w:rsid w:val="003B14C1"/>
    <w:rsid w:val="003B2884"/>
    <w:rsid w:val="003B588A"/>
    <w:rsid w:val="003B621D"/>
    <w:rsid w:val="003C219B"/>
    <w:rsid w:val="003C4388"/>
    <w:rsid w:val="003C4C27"/>
    <w:rsid w:val="003C7F7B"/>
    <w:rsid w:val="003D0CD6"/>
    <w:rsid w:val="003D2EAA"/>
    <w:rsid w:val="003D318A"/>
    <w:rsid w:val="003E054C"/>
    <w:rsid w:val="003E1EC5"/>
    <w:rsid w:val="003E27A0"/>
    <w:rsid w:val="003E3872"/>
    <w:rsid w:val="003F176A"/>
    <w:rsid w:val="004044AA"/>
    <w:rsid w:val="004044C8"/>
    <w:rsid w:val="00404F3F"/>
    <w:rsid w:val="00410B5D"/>
    <w:rsid w:val="00413BEC"/>
    <w:rsid w:val="0042265E"/>
    <w:rsid w:val="00424ED7"/>
    <w:rsid w:val="00425258"/>
    <w:rsid w:val="00425347"/>
    <w:rsid w:val="00426217"/>
    <w:rsid w:val="00431A80"/>
    <w:rsid w:val="00435A89"/>
    <w:rsid w:val="00444D94"/>
    <w:rsid w:val="00445ECA"/>
    <w:rsid w:val="00452267"/>
    <w:rsid w:val="00453307"/>
    <w:rsid w:val="00455A02"/>
    <w:rsid w:val="00457E36"/>
    <w:rsid w:val="00460BD3"/>
    <w:rsid w:val="00460E2B"/>
    <w:rsid w:val="00462F8F"/>
    <w:rsid w:val="004708F2"/>
    <w:rsid w:val="004724DE"/>
    <w:rsid w:val="00476E24"/>
    <w:rsid w:val="004770FE"/>
    <w:rsid w:val="0048157F"/>
    <w:rsid w:val="00481D56"/>
    <w:rsid w:val="00490408"/>
    <w:rsid w:val="00492A41"/>
    <w:rsid w:val="004A4C45"/>
    <w:rsid w:val="004B0485"/>
    <w:rsid w:val="004B428E"/>
    <w:rsid w:val="004B4D0A"/>
    <w:rsid w:val="004B4D37"/>
    <w:rsid w:val="004C42F0"/>
    <w:rsid w:val="004D07E5"/>
    <w:rsid w:val="004D4F6F"/>
    <w:rsid w:val="004D50C8"/>
    <w:rsid w:val="004D6B72"/>
    <w:rsid w:val="004E0802"/>
    <w:rsid w:val="004E1D73"/>
    <w:rsid w:val="004E72DD"/>
    <w:rsid w:val="005025FB"/>
    <w:rsid w:val="0050270A"/>
    <w:rsid w:val="00503462"/>
    <w:rsid w:val="005123A9"/>
    <w:rsid w:val="0051286E"/>
    <w:rsid w:val="00516021"/>
    <w:rsid w:val="00516457"/>
    <w:rsid w:val="00516641"/>
    <w:rsid w:val="0051729F"/>
    <w:rsid w:val="00520A0C"/>
    <w:rsid w:val="00530E37"/>
    <w:rsid w:val="00535946"/>
    <w:rsid w:val="00540169"/>
    <w:rsid w:val="00541021"/>
    <w:rsid w:val="005452CF"/>
    <w:rsid w:val="005464A1"/>
    <w:rsid w:val="00546F12"/>
    <w:rsid w:val="00547798"/>
    <w:rsid w:val="0055339C"/>
    <w:rsid w:val="005542CC"/>
    <w:rsid w:val="00560424"/>
    <w:rsid w:val="00560F5C"/>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0F8"/>
    <w:rsid w:val="0061762D"/>
    <w:rsid w:val="00617DF5"/>
    <w:rsid w:val="006227F4"/>
    <w:rsid w:val="006245A6"/>
    <w:rsid w:val="00634238"/>
    <w:rsid w:val="00635FBC"/>
    <w:rsid w:val="00637728"/>
    <w:rsid w:val="0064113A"/>
    <w:rsid w:val="0064167B"/>
    <w:rsid w:val="00644002"/>
    <w:rsid w:val="006458B1"/>
    <w:rsid w:val="00647A45"/>
    <w:rsid w:val="00650382"/>
    <w:rsid w:val="00650529"/>
    <w:rsid w:val="00650BAB"/>
    <w:rsid w:val="00651737"/>
    <w:rsid w:val="00655187"/>
    <w:rsid w:val="00663598"/>
    <w:rsid w:val="006652DD"/>
    <w:rsid w:val="006671BF"/>
    <w:rsid w:val="00672A7D"/>
    <w:rsid w:val="00676C17"/>
    <w:rsid w:val="00681416"/>
    <w:rsid w:val="006A06F5"/>
    <w:rsid w:val="006A0ED2"/>
    <w:rsid w:val="006B0A73"/>
    <w:rsid w:val="006B4F14"/>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340D"/>
    <w:rsid w:val="00706BB5"/>
    <w:rsid w:val="007109F6"/>
    <w:rsid w:val="00711BE3"/>
    <w:rsid w:val="00721B51"/>
    <w:rsid w:val="00724FA7"/>
    <w:rsid w:val="00725415"/>
    <w:rsid w:val="00727481"/>
    <w:rsid w:val="00727505"/>
    <w:rsid w:val="00731581"/>
    <w:rsid w:val="0073481D"/>
    <w:rsid w:val="0073516A"/>
    <w:rsid w:val="00741B9E"/>
    <w:rsid w:val="00743DAC"/>
    <w:rsid w:val="007455B3"/>
    <w:rsid w:val="007502CD"/>
    <w:rsid w:val="00752AE7"/>
    <w:rsid w:val="00752D3B"/>
    <w:rsid w:val="0075337B"/>
    <w:rsid w:val="00755CD4"/>
    <w:rsid w:val="00757F96"/>
    <w:rsid w:val="007610B5"/>
    <w:rsid w:val="00761F54"/>
    <w:rsid w:val="007623CB"/>
    <w:rsid w:val="00762652"/>
    <w:rsid w:val="00764551"/>
    <w:rsid w:val="007677B8"/>
    <w:rsid w:val="00773C8C"/>
    <w:rsid w:val="0077655E"/>
    <w:rsid w:val="00781713"/>
    <w:rsid w:val="00785285"/>
    <w:rsid w:val="0078529D"/>
    <w:rsid w:val="00785E77"/>
    <w:rsid w:val="00787DC1"/>
    <w:rsid w:val="00794070"/>
    <w:rsid w:val="007A63CA"/>
    <w:rsid w:val="007A713B"/>
    <w:rsid w:val="007A7DA0"/>
    <w:rsid w:val="007B1D38"/>
    <w:rsid w:val="007B64E5"/>
    <w:rsid w:val="007C2CDD"/>
    <w:rsid w:val="007C2F04"/>
    <w:rsid w:val="007C44D8"/>
    <w:rsid w:val="007D2335"/>
    <w:rsid w:val="007D3A9F"/>
    <w:rsid w:val="007D5C17"/>
    <w:rsid w:val="007E03BD"/>
    <w:rsid w:val="007E1CC1"/>
    <w:rsid w:val="007F06E5"/>
    <w:rsid w:val="007F5B8B"/>
    <w:rsid w:val="00804095"/>
    <w:rsid w:val="00817E9A"/>
    <w:rsid w:val="00827786"/>
    <w:rsid w:val="00827BDA"/>
    <w:rsid w:val="00830D57"/>
    <w:rsid w:val="00831F00"/>
    <w:rsid w:val="00833FC1"/>
    <w:rsid w:val="0083509C"/>
    <w:rsid w:val="00850CA0"/>
    <w:rsid w:val="00852A2F"/>
    <w:rsid w:val="00860040"/>
    <w:rsid w:val="008608EE"/>
    <w:rsid w:val="00860B07"/>
    <w:rsid w:val="008616F6"/>
    <w:rsid w:val="0086259C"/>
    <w:rsid w:val="008674ED"/>
    <w:rsid w:val="0087074C"/>
    <w:rsid w:val="00877FD1"/>
    <w:rsid w:val="00883F24"/>
    <w:rsid w:val="00897E1F"/>
    <w:rsid w:val="008A3E8E"/>
    <w:rsid w:val="008A577F"/>
    <w:rsid w:val="008B0D8B"/>
    <w:rsid w:val="008B2CB4"/>
    <w:rsid w:val="008B35A6"/>
    <w:rsid w:val="008B3D82"/>
    <w:rsid w:val="008B43C1"/>
    <w:rsid w:val="008B5503"/>
    <w:rsid w:val="008B6404"/>
    <w:rsid w:val="008C2C21"/>
    <w:rsid w:val="008C61DE"/>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480"/>
    <w:rsid w:val="0092495B"/>
    <w:rsid w:val="0092660E"/>
    <w:rsid w:val="00933734"/>
    <w:rsid w:val="00936519"/>
    <w:rsid w:val="00941A91"/>
    <w:rsid w:val="00941DA3"/>
    <w:rsid w:val="00942C0C"/>
    <w:rsid w:val="009505DB"/>
    <w:rsid w:val="00951711"/>
    <w:rsid w:val="00953394"/>
    <w:rsid w:val="009539E3"/>
    <w:rsid w:val="00954A5E"/>
    <w:rsid w:val="009551B2"/>
    <w:rsid w:val="0096022C"/>
    <w:rsid w:val="00960C5A"/>
    <w:rsid w:val="00961B07"/>
    <w:rsid w:val="00964625"/>
    <w:rsid w:val="00980937"/>
    <w:rsid w:val="00981C1D"/>
    <w:rsid w:val="009821D7"/>
    <w:rsid w:val="009901AD"/>
    <w:rsid w:val="00990BF3"/>
    <w:rsid w:val="0099109C"/>
    <w:rsid w:val="00991E9D"/>
    <w:rsid w:val="009936DB"/>
    <w:rsid w:val="00993CFC"/>
    <w:rsid w:val="0099595A"/>
    <w:rsid w:val="009A1DC2"/>
    <w:rsid w:val="009A5EEA"/>
    <w:rsid w:val="009B0906"/>
    <w:rsid w:val="009B38F2"/>
    <w:rsid w:val="009B7433"/>
    <w:rsid w:val="009C0914"/>
    <w:rsid w:val="009C27E5"/>
    <w:rsid w:val="009C7D6E"/>
    <w:rsid w:val="009D1D7B"/>
    <w:rsid w:val="009D24A1"/>
    <w:rsid w:val="009D3891"/>
    <w:rsid w:val="009D71E8"/>
    <w:rsid w:val="009E104B"/>
    <w:rsid w:val="009E149B"/>
    <w:rsid w:val="009E7DE4"/>
    <w:rsid w:val="009F0341"/>
    <w:rsid w:val="009F3BBD"/>
    <w:rsid w:val="00A012C5"/>
    <w:rsid w:val="00A022AB"/>
    <w:rsid w:val="00A02F1C"/>
    <w:rsid w:val="00A063DD"/>
    <w:rsid w:val="00A112B5"/>
    <w:rsid w:val="00A1153C"/>
    <w:rsid w:val="00A11E5A"/>
    <w:rsid w:val="00A14EEA"/>
    <w:rsid w:val="00A33636"/>
    <w:rsid w:val="00A359E6"/>
    <w:rsid w:val="00A369BE"/>
    <w:rsid w:val="00A44FBB"/>
    <w:rsid w:val="00A50104"/>
    <w:rsid w:val="00A522E0"/>
    <w:rsid w:val="00A52823"/>
    <w:rsid w:val="00A63579"/>
    <w:rsid w:val="00A638AC"/>
    <w:rsid w:val="00A64475"/>
    <w:rsid w:val="00A727E5"/>
    <w:rsid w:val="00A748B5"/>
    <w:rsid w:val="00A80570"/>
    <w:rsid w:val="00A80A32"/>
    <w:rsid w:val="00A82A98"/>
    <w:rsid w:val="00A82D16"/>
    <w:rsid w:val="00A83F12"/>
    <w:rsid w:val="00A852F2"/>
    <w:rsid w:val="00A8712A"/>
    <w:rsid w:val="00A95F75"/>
    <w:rsid w:val="00A968DA"/>
    <w:rsid w:val="00A96B83"/>
    <w:rsid w:val="00A96C9E"/>
    <w:rsid w:val="00AA355B"/>
    <w:rsid w:val="00AA42E5"/>
    <w:rsid w:val="00AB24FA"/>
    <w:rsid w:val="00AD7B5A"/>
    <w:rsid w:val="00AE229F"/>
    <w:rsid w:val="00AE4D17"/>
    <w:rsid w:val="00AF5E20"/>
    <w:rsid w:val="00B002FA"/>
    <w:rsid w:val="00B00327"/>
    <w:rsid w:val="00B01755"/>
    <w:rsid w:val="00B024B3"/>
    <w:rsid w:val="00B11DE8"/>
    <w:rsid w:val="00B179ED"/>
    <w:rsid w:val="00B2070C"/>
    <w:rsid w:val="00B20E18"/>
    <w:rsid w:val="00B331E1"/>
    <w:rsid w:val="00B50AC3"/>
    <w:rsid w:val="00B572C4"/>
    <w:rsid w:val="00B60858"/>
    <w:rsid w:val="00B61CBB"/>
    <w:rsid w:val="00B74D4E"/>
    <w:rsid w:val="00B80219"/>
    <w:rsid w:val="00B86013"/>
    <w:rsid w:val="00B87184"/>
    <w:rsid w:val="00B91453"/>
    <w:rsid w:val="00B974DE"/>
    <w:rsid w:val="00BA19A5"/>
    <w:rsid w:val="00BB0C40"/>
    <w:rsid w:val="00BB48D0"/>
    <w:rsid w:val="00BB6D0D"/>
    <w:rsid w:val="00BC078B"/>
    <w:rsid w:val="00BC3A7D"/>
    <w:rsid w:val="00BC5F43"/>
    <w:rsid w:val="00BC67F6"/>
    <w:rsid w:val="00BD2004"/>
    <w:rsid w:val="00BD4B12"/>
    <w:rsid w:val="00BD700D"/>
    <w:rsid w:val="00BE0C43"/>
    <w:rsid w:val="00BE2F92"/>
    <w:rsid w:val="00BE44AC"/>
    <w:rsid w:val="00BE6C67"/>
    <w:rsid w:val="00BF0D5F"/>
    <w:rsid w:val="00BF59B3"/>
    <w:rsid w:val="00BF6F95"/>
    <w:rsid w:val="00C10BCF"/>
    <w:rsid w:val="00C11EB4"/>
    <w:rsid w:val="00C12746"/>
    <w:rsid w:val="00C23C11"/>
    <w:rsid w:val="00C23EEB"/>
    <w:rsid w:val="00C25827"/>
    <w:rsid w:val="00C308B4"/>
    <w:rsid w:val="00C31BB8"/>
    <w:rsid w:val="00C373EA"/>
    <w:rsid w:val="00C43CA3"/>
    <w:rsid w:val="00C43D9D"/>
    <w:rsid w:val="00C43EA4"/>
    <w:rsid w:val="00C50040"/>
    <w:rsid w:val="00C52DFF"/>
    <w:rsid w:val="00C57A63"/>
    <w:rsid w:val="00C621C1"/>
    <w:rsid w:val="00C62989"/>
    <w:rsid w:val="00C63E4D"/>
    <w:rsid w:val="00C65CBB"/>
    <w:rsid w:val="00C66D66"/>
    <w:rsid w:val="00C74684"/>
    <w:rsid w:val="00C77FEF"/>
    <w:rsid w:val="00C80F37"/>
    <w:rsid w:val="00C83659"/>
    <w:rsid w:val="00C97A7F"/>
    <w:rsid w:val="00CA4421"/>
    <w:rsid w:val="00CA5363"/>
    <w:rsid w:val="00CA7D07"/>
    <w:rsid w:val="00CB24A4"/>
    <w:rsid w:val="00CB5B17"/>
    <w:rsid w:val="00CC4443"/>
    <w:rsid w:val="00CC5CAF"/>
    <w:rsid w:val="00CD5DA1"/>
    <w:rsid w:val="00CD7206"/>
    <w:rsid w:val="00D06874"/>
    <w:rsid w:val="00D07530"/>
    <w:rsid w:val="00D12829"/>
    <w:rsid w:val="00D14168"/>
    <w:rsid w:val="00D165BF"/>
    <w:rsid w:val="00D173F7"/>
    <w:rsid w:val="00D176E8"/>
    <w:rsid w:val="00D178FD"/>
    <w:rsid w:val="00D20203"/>
    <w:rsid w:val="00D204E0"/>
    <w:rsid w:val="00D21354"/>
    <w:rsid w:val="00D22400"/>
    <w:rsid w:val="00D23F4A"/>
    <w:rsid w:val="00D264E2"/>
    <w:rsid w:val="00D278BA"/>
    <w:rsid w:val="00D33FE5"/>
    <w:rsid w:val="00D348C0"/>
    <w:rsid w:val="00D3578A"/>
    <w:rsid w:val="00D43A15"/>
    <w:rsid w:val="00D4463C"/>
    <w:rsid w:val="00D4746E"/>
    <w:rsid w:val="00D501EE"/>
    <w:rsid w:val="00D517DC"/>
    <w:rsid w:val="00D5360D"/>
    <w:rsid w:val="00D53C98"/>
    <w:rsid w:val="00D5590D"/>
    <w:rsid w:val="00D618E4"/>
    <w:rsid w:val="00D61DA5"/>
    <w:rsid w:val="00D642A3"/>
    <w:rsid w:val="00D71B8A"/>
    <w:rsid w:val="00D72C08"/>
    <w:rsid w:val="00D81325"/>
    <w:rsid w:val="00D84D7A"/>
    <w:rsid w:val="00D875ED"/>
    <w:rsid w:val="00D877D0"/>
    <w:rsid w:val="00D90013"/>
    <w:rsid w:val="00D91B9C"/>
    <w:rsid w:val="00D92C1B"/>
    <w:rsid w:val="00D94CC7"/>
    <w:rsid w:val="00DA1536"/>
    <w:rsid w:val="00DA1AF4"/>
    <w:rsid w:val="00DB0C60"/>
    <w:rsid w:val="00DC641A"/>
    <w:rsid w:val="00DD21A1"/>
    <w:rsid w:val="00DD6B7D"/>
    <w:rsid w:val="00DD6E14"/>
    <w:rsid w:val="00DE15AC"/>
    <w:rsid w:val="00DF2015"/>
    <w:rsid w:val="00E061EC"/>
    <w:rsid w:val="00E10E81"/>
    <w:rsid w:val="00E13E51"/>
    <w:rsid w:val="00E21F56"/>
    <w:rsid w:val="00E2766A"/>
    <w:rsid w:val="00E3014F"/>
    <w:rsid w:val="00E302C4"/>
    <w:rsid w:val="00E4286E"/>
    <w:rsid w:val="00E43EAD"/>
    <w:rsid w:val="00E46990"/>
    <w:rsid w:val="00E53DC2"/>
    <w:rsid w:val="00E62DCB"/>
    <w:rsid w:val="00E651DD"/>
    <w:rsid w:val="00E66558"/>
    <w:rsid w:val="00E70D81"/>
    <w:rsid w:val="00E726A6"/>
    <w:rsid w:val="00E73418"/>
    <w:rsid w:val="00E7436B"/>
    <w:rsid w:val="00E8109E"/>
    <w:rsid w:val="00E86A42"/>
    <w:rsid w:val="00E86F05"/>
    <w:rsid w:val="00EA3A2A"/>
    <w:rsid w:val="00EB4556"/>
    <w:rsid w:val="00EB64C8"/>
    <w:rsid w:val="00EC14EB"/>
    <w:rsid w:val="00ED4136"/>
    <w:rsid w:val="00ED5108"/>
    <w:rsid w:val="00ED6AE8"/>
    <w:rsid w:val="00EE2CB2"/>
    <w:rsid w:val="00EF1798"/>
    <w:rsid w:val="00EF4E8A"/>
    <w:rsid w:val="00F012CA"/>
    <w:rsid w:val="00F01752"/>
    <w:rsid w:val="00F017D2"/>
    <w:rsid w:val="00F0355A"/>
    <w:rsid w:val="00F05C44"/>
    <w:rsid w:val="00F11C2B"/>
    <w:rsid w:val="00F15753"/>
    <w:rsid w:val="00F21F92"/>
    <w:rsid w:val="00F24A7E"/>
    <w:rsid w:val="00F278C3"/>
    <w:rsid w:val="00F32ABA"/>
    <w:rsid w:val="00F33DC0"/>
    <w:rsid w:val="00F33F28"/>
    <w:rsid w:val="00F35A40"/>
    <w:rsid w:val="00F35FDE"/>
    <w:rsid w:val="00F40DE1"/>
    <w:rsid w:val="00F4142A"/>
    <w:rsid w:val="00F471BE"/>
    <w:rsid w:val="00F471D0"/>
    <w:rsid w:val="00F560B1"/>
    <w:rsid w:val="00F6082E"/>
    <w:rsid w:val="00F62587"/>
    <w:rsid w:val="00F631A6"/>
    <w:rsid w:val="00F63E9E"/>
    <w:rsid w:val="00F645A3"/>
    <w:rsid w:val="00F66AA7"/>
    <w:rsid w:val="00F67F53"/>
    <w:rsid w:val="00F7356A"/>
    <w:rsid w:val="00F7384A"/>
    <w:rsid w:val="00F75603"/>
    <w:rsid w:val="00F76843"/>
    <w:rsid w:val="00F776E1"/>
    <w:rsid w:val="00F925EB"/>
    <w:rsid w:val="00F97033"/>
    <w:rsid w:val="00FA3586"/>
    <w:rsid w:val="00FA6DD0"/>
    <w:rsid w:val="00FC28DF"/>
    <w:rsid w:val="00FC2EA1"/>
    <w:rsid w:val="00FD2297"/>
    <w:rsid w:val="00FD687E"/>
    <w:rsid w:val="00FD6AC6"/>
    <w:rsid w:val="00FE3136"/>
    <w:rsid w:val="00FE50A3"/>
    <w:rsid w:val="00FE5204"/>
    <w:rsid w:val="00FE604C"/>
    <w:rsid w:val="00FF369D"/>
    <w:rsid w:val="00FF5598"/>
    <w:rsid w:val="00FF6FB0"/>
    <w:rsid w:val="00FF79A8"/>
    <w:rsid w:val="05B6D577"/>
    <w:rsid w:val="069AA0E3"/>
    <w:rsid w:val="07FFD3D3"/>
    <w:rsid w:val="0B240EAF"/>
    <w:rsid w:val="0E60FAA9"/>
    <w:rsid w:val="13173609"/>
    <w:rsid w:val="167C92C4"/>
    <w:rsid w:val="18026B9E"/>
    <w:rsid w:val="1A172959"/>
    <w:rsid w:val="1CBF4D92"/>
    <w:rsid w:val="2497129E"/>
    <w:rsid w:val="2860AB8E"/>
    <w:rsid w:val="2FFB967E"/>
    <w:rsid w:val="31CC4DD9"/>
    <w:rsid w:val="380BAE89"/>
    <w:rsid w:val="3A3F1ACF"/>
    <w:rsid w:val="3BE13FA2"/>
    <w:rsid w:val="3EA4202B"/>
    <w:rsid w:val="418407A1"/>
    <w:rsid w:val="478B8EB7"/>
    <w:rsid w:val="491E3A64"/>
    <w:rsid w:val="4BF69EA0"/>
    <w:rsid w:val="5726C435"/>
    <w:rsid w:val="5C40C457"/>
    <w:rsid w:val="5F3A7B6B"/>
    <w:rsid w:val="617B4808"/>
    <w:rsid w:val="625D1A15"/>
    <w:rsid w:val="646EFAB2"/>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D176E8"/>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85">
      <w:bodyDiv w:val="1"/>
      <w:marLeft w:val="0"/>
      <w:marRight w:val="0"/>
      <w:marTop w:val="0"/>
      <w:marBottom w:val="0"/>
      <w:divBdr>
        <w:top w:val="none" w:sz="0" w:space="0" w:color="auto"/>
        <w:left w:val="none" w:sz="0" w:space="0" w:color="auto"/>
        <w:bottom w:val="none" w:sz="0" w:space="0" w:color="auto"/>
        <w:right w:val="none" w:sz="0" w:space="0" w:color="auto"/>
      </w:divBdr>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1389781">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661739332">
      <w:bodyDiv w:val="1"/>
      <w:marLeft w:val="0"/>
      <w:marRight w:val="0"/>
      <w:marTop w:val="0"/>
      <w:marBottom w:val="0"/>
      <w:divBdr>
        <w:top w:val="none" w:sz="0" w:space="0" w:color="auto"/>
        <w:left w:val="none" w:sz="0" w:space="0" w:color="auto"/>
        <w:bottom w:val="none" w:sz="0" w:space="0" w:color="auto"/>
        <w:right w:val="none" w:sz="0" w:space="0" w:color="auto"/>
      </w:divBdr>
    </w:div>
    <w:div w:id="838739400">
      <w:bodyDiv w:val="1"/>
      <w:marLeft w:val="0"/>
      <w:marRight w:val="0"/>
      <w:marTop w:val="0"/>
      <w:marBottom w:val="0"/>
      <w:divBdr>
        <w:top w:val="none" w:sz="0" w:space="0" w:color="auto"/>
        <w:left w:val="none" w:sz="0" w:space="0" w:color="auto"/>
        <w:bottom w:val="none" w:sz="0" w:space="0" w:color="auto"/>
        <w:right w:val="none" w:sz="0" w:space="0" w:color="auto"/>
      </w:divBdr>
    </w:div>
    <w:div w:id="1192499833">
      <w:bodyDiv w:val="1"/>
      <w:marLeft w:val="0"/>
      <w:marRight w:val="0"/>
      <w:marTop w:val="0"/>
      <w:marBottom w:val="0"/>
      <w:divBdr>
        <w:top w:val="none" w:sz="0" w:space="0" w:color="auto"/>
        <w:left w:val="none" w:sz="0" w:space="0" w:color="auto"/>
        <w:bottom w:val="none" w:sz="0" w:space="0" w:color="auto"/>
        <w:right w:val="none" w:sz="0" w:space="0" w:color="auto"/>
      </w:divBdr>
    </w:div>
    <w:div w:id="1248613042">
      <w:bodyDiv w:val="1"/>
      <w:marLeft w:val="0"/>
      <w:marRight w:val="0"/>
      <w:marTop w:val="0"/>
      <w:marBottom w:val="0"/>
      <w:divBdr>
        <w:top w:val="none" w:sz="0" w:space="0" w:color="auto"/>
        <w:left w:val="none" w:sz="0" w:space="0" w:color="auto"/>
        <w:bottom w:val="none" w:sz="0" w:space="0" w:color="auto"/>
        <w:right w:val="none" w:sz="0" w:space="0" w:color="auto"/>
      </w:divBdr>
    </w:div>
    <w:div w:id="1437795586">
      <w:bodyDiv w:val="1"/>
      <w:marLeft w:val="0"/>
      <w:marRight w:val="0"/>
      <w:marTop w:val="0"/>
      <w:marBottom w:val="0"/>
      <w:divBdr>
        <w:top w:val="none" w:sz="0" w:space="0" w:color="auto"/>
        <w:left w:val="none" w:sz="0" w:space="0" w:color="auto"/>
        <w:bottom w:val="none" w:sz="0" w:space="0" w:color="auto"/>
        <w:right w:val="none" w:sz="0" w:space="0" w:color="auto"/>
      </w:divBdr>
    </w:div>
    <w:div w:id="1694576435">
      <w:bodyDiv w:val="1"/>
      <w:marLeft w:val="0"/>
      <w:marRight w:val="0"/>
      <w:marTop w:val="0"/>
      <w:marBottom w:val="0"/>
      <w:divBdr>
        <w:top w:val="none" w:sz="0" w:space="0" w:color="auto"/>
        <w:left w:val="none" w:sz="0" w:space="0" w:color="auto"/>
        <w:bottom w:val="none" w:sz="0" w:space="0" w:color="auto"/>
        <w:right w:val="none" w:sz="0" w:space="0" w:color="auto"/>
      </w:divBdr>
    </w:div>
    <w:div w:id="1741293262">
      <w:bodyDiv w:val="1"/>
      <w:marLeft w:val="0"/>
      <w:marRight w:val="0"/>
      <w:marTop w:val="0"/>
      <w:marBottom w:val="0"/>
      <w:divBdr>
        <w:top w:val="none" w:sz="0" w:space="0" w:color="auto"/>
        <w:left w:val="none" w:sz="0" w:space="0" w:color="auto"/>
        <w:bottom w:val="none" w:sz="0" w:space="0" w:color="auto"/>
        <w:right w:val="none" w:sz="0" w:space="0" w:color="auto"/>
      </w:divBdr>
    </w:div>
    <w:div w:id="189963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e437d84a1b7bb0a385819806dfdb32a0">
  <xsd:schema xmlns:xsd="http://www.w3.org/2001/XMLSchema" xmlns:xs="http://www.w3.org/2001/XMLSchema" xmlns:p="http://schemas.microsoft.com/office/2006/metadata/properties" xmlns:ns2="b9be400d-8dc7-4769-b4e8-09b1ec29e445" targetNamespace="http://schemas.microsoft.com/office/2006/metadata/properties" ma:root="true" ma:fieldsID="f0af5dc0fbfa7473ab5220260d4883e2"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57034-9FC9-4D7C-BF02-F9D49B8272A5}">
  <ds:schemaRefs>
    <ds:schemaRef ds:uri="http://schemas.openxmlformats.org/officeDocument/2006/bibliography"/>
  </ds:schemaRefs>
</ds:datastoreItem>
</file>

<file path=customXml/itemProps2.xml><?xml version="1.0" encoding="utf-8"?>
<ds:datastoreItem xmlns:ds="http://schemas.openxmlformats.org/officeDocument/2006/customXml" ds:itemID="{EC7B21FF-76BC-400F-B069-1595A43AF644}">
  <ds:schemaRefs>
    <ds:schemaRef ds:uri="http://schemas.microsoft.com/office/2006/metadata/properties"/>
    <ds:schemaRef ds:uri="http://schemas.microsoft.com/office/infopath/2007/PartnerControls"/>
    <ds:schemaRef ds:uri="15f10766-8f6b-4152-9fce-b4a72584ce24"/>
    <ds:schemaRef ds:uri="43390b64-09a2-432d-87ca-47dc0bc1332e"/>
  </ds:schemaRefs>
</ds:datastoreItem>
</file>

<file path=customXml/itemProps3.xml><?xml version="1.0" encoding="utf-8"?>
<ds:datastoreItem xmlns:ds="http://schemas.openxmlformats.org/officeDocument/2006/customXml" ds:itemID="{24B22194-6C1C-42E2-B933-557D3A1C11CD}"/>
</file>

<file path=customXml/itemProps4.xml><?xml version="1.0" encoding="utf-8"?>
<ds:datastoreItem xmlns:ds="http://schemas.openxmlformats.org/officeDocument/2006/customXml" ds:itemID="{64AC6FB6-6017-40B1-9C11-110582D26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Sam Barnes</cp:lastModifiedBy>
  <cp:revision>3</cp:revision>
  <cp:lastPrinted>2014-09-18T05:26:00Z</cp:lastPrinted>
  <dcterms:created xsi:type="dcterms:W3CDTF">2026-02-11T11:53:00Z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0x01010028705BCA00419244B4EAE1714B912F91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